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A5690">
      <w:pPr>
        <w:rPr>
          <w:sz w:val="30"/>
        </w:rPr>
      </w:pPr>
    </w:p>
    <w:p w14:paraId="7FA24663">
      <w:pPr>
        <w:rPr>
          <w:sz w:val="30"/>
        </w:rPr>
      </w:pPr>
    </w:p>
    <w:p w14:paraId="63BF4C5B">
      <w:pPr>
        <w:rPr>
          <w:sz w:val="30"/>
        </w:rPr>
      </w:pPr>
    </w:p>
    <w:p w14:paraId="262A1DDE">
      <w:pPr>
        <w:rPr>
          <w:sz w:val="30"/>
        </w:rPr>
      </w:pPr>
    </w:p>
    <w:p w14:paraId="29AF64A3">
      <w:pPr>
        <w:rPr>
          <w:sz w:val="30"/>
        </w:rPr>
      </w:pPr>
    </w:p>
    <w:p w14:paraId="6906729C">
      <w:pPr>
        <w:jc w:val="center"/>
        <w:outlineLvl w:val="0"/>
        <w:rPr>
          <w:rFonts w:ascii="宋体"/>
          <w:b/>
          <w:bCs/>
          <w:color w:val="000000"/>
          <w:sz w:val="44"/>
          <w:szCs w:val="44"/>
        </w:rPr>
      </w:pPr>
      <w:r>
        <w:rPr>
          <w:rFonts w:hint="eastAsia" w:ascii="宋体"/>
          <w:b/>
          <w:bCs/>
          <w:color w:val="000000"/>
          <w:sz w:val="44"/>
          <w:szCs w:val="44"/>
        </w:rPr>
        <w:t>【</w:t>
      </w:r>
      <w:r>
        <w:rPr>
          <w:rFonts w:hint="eastAsia" w:ascii="宋体"/>
          <w:b/>
          <w:bCs/>
          <w:color w:val="000000"/>
          <w:sz w:val="44"/>
          <w:szCs w:val="44"/>
          <w:lang w:val="en-US" w:eastAsia="zh-CN"/>
        </w:rPr>
        <w:t>医学影像处理软件</w:t>
      </w:r>
      <w:r>
        <w:rPr>
          <w:rFonts w:hint="eastAsia" w:ascii="宋体"/>
          <w:b/>
          <w:bCs/>
          <w:color w:val="000000"/>
          <w:sz w:val="44"/>
          <w:szCs w:val="44"/>
        </w:rPr>
        <w:t>】</w:t>
      </w:r>
    </w:p>
    <w:p w14:paraId="105D1A7D">
      <w:pPr>
        <w:spacing w:before="156" w:beforeLines="50" w:after="156" w:afterLines="50"/>
        <w:jc w:val="center"/>
        <w:rPr>
          <w:b/>
          <w:bCs/>
          <w:kern w:val="0"/>
          <w:sz w:val="48"/>
          <w:szCs w:val="48"/>
        </w:rPr>
      </w:pPr>
      <w:r>
        <w:rPr>
          <w:rFonts w:hint="eastAsia"/>
          <w:b/>
          <w:bCs/>
          <w:kern w:val="0"/>
          <w:sz w:val="48"/>
          <w:szCs w:val="48"/>
        </w:rPr>
        <w:t>项目</w:t>
      </w:r>
      <w:r>
        <w:rPr>
          <w:b/>
          <w:bCs/>
          <w:kern w:val="0"/>
          <w:sz w:val="48"/>
          <w:szCs w:val="48"/>
        </w:rPr>
        <w:t>可行性分析报告</w:t>
      </w:r>
    </w:p>
    <w:p w14:paraId="2671C17A">
      <w:pPr>
        <w:rPr>
          <w:rFonts w:ascii="宋体" w:hAnsi="宋体"/>
          <w:b/>
          <w:sz w:val="28"/>
          <w:szCs w:val="28"/>
        </w:rPr>
      </w:pPr>
    </w:p>
    <w:p w14:paraId="648B4F10">
      <w:pPr>
        <w:pBdr>
          <w:bottom w:val="none" w:color="auto" w:sz="0" w:space="0"/>
        </w:pBdr>
        <w:snapToGrid w:val="0"/>
        <w:spacing w:line="360" w:lineRule="auto"/>
        <w:jc w:val="center"/>
      </w:pPr>
      <w:r>
        <w:rPr>
          <w:rFonts w:hint="eastAsia" w:ascii="宋体" w:hAnsi="宋体" w:cs="楷体"/>
          <w:sz w:val="24"/>
        </w:rPr>
        <w:t>文件编号：</w:t>
      </w:r>
      <w:r>
        <w:rPr>
          <w:rFonts w:ascii="宋体" w:hAnsi="宋体" w:cs="楷体"/>
          <w:sz w:val="24"/>
          <w:szCs w:val="28"/>
        </w:rPr>
        <w:t>QP-00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9</w:t>
      </w:r>
      <w:r>
        <w:rPr>
          <w:rFonts w:ascii="宋体" w:hAnsi="宋体" w:cs="楷体"/>
          <w:sz w:val="24"/>
          <w:szCs w:val="28"/>
        </w:rPr>
        <w:t>-0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2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版本号：A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修订次数：第0次</w:t>
      </w:r>
    </w:p>
    <w:p w14:paraId="0E9EF753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683CBFF8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4232A865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52D46B48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13C16CE5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41A7BFC0">
      <w:pPr>
        <w:spacing w:line="540" w:lineRule="exact"/>
        <w:ind w:firstLine="2520" w:firstLineChars="900"/>
        <w:rPr>
          <w:sz w:val="32"/>
          <w:u w:val="single"/>
        </w:rPr>
      </w:pPr>
      <w:r>
        <w:rPr>
          <w:rFonts w:hint="eastAsia" w:ascii="宋体" w:hAnsi="宋体"/>
          <w:bCs/>
          <w:color w:val="000000"/>
          <w:sz w:val="28"/>
        </w:rPr>
        <w:t>编 制：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</w:t>
      </w:r>
      <w:r>
        <w:rPr>
          <w:rFonts w:hint="eastAsia" w:ascii="宋体" w:hAnsi="宋体"/>
          <w:bCs/>
          <w:color w:val="1D41D5"/>
          <w:sz w:val="28"/>
          <w:u w:val="single"/>
          <w:lang w:val="en-US" w:eastAsia="zh-CN"/>
        </w:rPr>
        <w:t xml:space="preserve">侯瑞军 </w:t>
      </w:r>
      <w:r>
        <w:rPr>
          <w:rFonts w:hint="eastAsia" w:ascii="宋体" w:hAnsi="宋体"/>
          <w:bCs/>
          <w:color w:val="1D41D5"/>
          <w:sz w:val="28"/>
          <w:u w:val="single"/>
        </w:rPr>
        <w:t xml:space="preserve"> </w:t>
      </w:r>
      <w:r>
        <w:rPr>
          <w:rFonts w:hint="eastAsia" w:ascii="宋体" w:hAnsi="宋体"/>
          <w:bCs/>
          <w:color w:val="1D41D5"/>
          <w:sz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bCs/>
          <w:color w:val="1D41D5"/>
          <w:sz w:val="28"/>
          <w:u w:val="single"/>
        </w:rPr>
        <w:t>202</w:t>
      </w:r>
      <w:r>
        <w:rPr>
          <w:rFonts w:hint="eastAsia" w:ascii="宋体" w:hAnsi="宋体"/>
          <w:bCs/>
          <w:color w:val="1D41D5"/>
          <w:sz w:val="28"/>
          <w:u w:val="single"/>
          <w:lang w:val="en-US" w:eastAsia="zh-CN"/>
        </w:rPr>
        <w:t>4.9.9</w:t>
      </w:r>
      <w:r>
        <w:rPr>
          <w:rFonts w:hint="eastAsia" w:ascii="宋体" w:hAnsi="宋体"/>
          <w:bCs/>
          <w:color w:val="1D41D5"/>
          <w:sz w:val="28"/>
          <w:u w:val="single"/>
        </w:rPr>
        <w:t xml:space="preserve">   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</w:t>
      </w:r>
    </w:p>
    <w:p w14:paraId="12DD15B4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3E395F64">
      <w:pPr>
        <w:spacing w:line="540" w:lineRule="exact"/>
        <w:ind w:firstLine="2520" w:firstLineChars="900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审 核：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</w:t>
      </w:r>
      <w:r>
        <w:rPr>
          <w:rFonts w:hint="eastAsia" w:ascii="宋体" w:hAnsi="宋体"/>
          <w:bCs/>
          <w:color w:val="1D41D5"/>
          <w:sz w:val="28"/>
          <w:u w:val="single"/>
        </w:rPr>
        <w:t xml:space="preserve"> </w:t>
      </w:r>
      <w:r>
        <w:rPr>
          <w:rFonts w:hint="eastAsia" w:ascii="宋体" w:hAnsi="宋体"/>
          <w:bCs/>
          <w:color w:val="1D41D5"/>
          <w:sz w:val="28"/>
          <w:u w:val="single"/>
          <w:lang w:val="en-US" w:eastAsia="zh-CN"/>
        </w:rPr>
        <w:t>刘克省   2024.9.13</w:t>
      </w:r>
      <w:r>
        <w:rPr>
          <w:rFonts w:hint="eastAsia" w:ascii="宋体" w:hAnsi="宋体"/>
          <w:bCs/>
          <w:color w:val="1D41D5"/>
          <w:sz w:val="28"/>
          <w:u w:val="single"/>
        </w:rPr>
        <w:t xml:space="preserve">    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51B34E8F">
      <w:pPr>
        <w:spacing w:line="540" w:lineRule="exact"/>
        <w:rPr>
          <w:rFonts w:ascii="宋体" w:hAnsi="宋体"/>
          <w:bCs/>
          <w:color w:val="000000"/>
          <w:sz w:val="28"/>
          <w:szCs w:val="28"/>
        </w:rPr>
      </w:pPr>
    </w:p>
    <w:p w14:paraId="2AA6DF3E">
      <w:pPr>
        <w:spacing w:line="540" w:lineRule="exact"/>
        <w:ind w:firstLine="2520" w:firstLineChars="900"/>
        <w:rPr>
          <w:rFonts w:hint="eastAsia" w:ascii="宋体" w:hAnsi="宋体" w:eastAsia="宋体"/>
          <w:bCs/>
          <w:color w:val="000000"/>
          <w:sz w:val="28"/>
          <w:szCs w:val="24"/>
          <w:lang w:val="en-US" w:eastAsia="zh-CN"/>
        </w:rPr>
      </w:pPr>
      <w:r>
        <w:rPr>
          <w:rFonts w:hint="eastAsia" w:ascii="宋体" w:hAnsi="宋体"/>
          <w:bCs/>
          <w:color w:val="000000"/>
          <w:sz w:val="28"/>
          <w:szCs w:val="24"/>
        </w:rPr>
        <w:t>批 准：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</w:t>
      </w:r>
      <w:r>
        <w:rPr>
          <w:rFonts w:hint="eastAsia" w:ascii="宋体" w:hAnsi="宋体"/>
          <w:bCs/>
          <w:color w:val="1D41D5"/>
          <w:sz w:val="28"/>
          <w:u w:val="single"/>
        </w:rPr>
        <w:t xml:space="preserve"> </w:t>
      </w:r>
      <w:r>
        <w:rPr>
          <w:rFonts w:hint="eastAsia" w:ascii="宋体" w:hAnsi="宋体"/>
          <w:bCs/>
          <w:color w:val="1D41D5"/>
          <w:sz w:val="28"/>
          <w:u w:val="single"/>
          <w:lang w:val="en-US" w:eastAsia="zh-CN"/>
        </w:rPr>
        <w:t>庞海     2024.9.13</w:t>
      </w:r>
      <w:r>
        <w:rPr>
          <w:rFonts w:hint="eastAsia" w:ascii="宋体" w:hAnsi="宋体"/>
          <w:bCs/>
          <w:color w:val="1D41D5"/>
          <w:sz w:val="28"/>
          <w:u w:val="single"/>
        </w:rPr>
        <w:t xml:space="preserve">  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</w:t>
      </w:r>
      <w:r>
        <w:rPr>
          <w:rFonts w:hint="eastAsia" w:ascii="宋体" w:hAnsi="宋体"/>
          <w:bCs/>
          <w:color w:val="000000"/>
          <w:sz w:val="28"/>
          <w:u w:val="single"/>
          <w:lang w:val="en-US" w:eastAsia="zh-CN"/>
        </w:rPr>
        <w:t xml:space="preserve"> </w:t>
      </w:r>
    </w:p>
    <w:p w14:paraId="41D8E861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098C55B3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50F893A7">
      <w:pPr>
        <w:pStyle w:val="4"/>
        <w:spacing w:before="0" w:line="360" w:lineRule="auto"/>
        <w:ind w:firstLine="0" w:firstLineChars="0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/>
          <w:bCs/>
          <w:color w:val="000000"/>
          <w:sz w:val="28"/>
          <w:lang w:eastAsia="zh-CN"/>
        </w:rPr>
        <w:tab/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 xml:space="preserve">童伴有康（河北）科技有限公司         </w:t>
      </w:r>
    </w:p>
    <w:p w14:paraId="63980DB1">
      <w:pPr>
        <w:pStyle w:val="4"/>
        <w:spacing w:before="0" w:line="360" w:lineRule="auto"/>
        <w:ind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footnotePr>
            <w:numRestart w:val="eachPage"/>
          </w:footnotePr>
          <w:pgSz w:w="11906" w:h="16838"/>
          <w:pgMar w:top="850" w:right="851" w:bottom="850" w:left="850" w:header="851" w:footer="851" w:gutter="0"/>
          <w:paperSrc w:first="7" w:other="7"/>
          <w:pgNumType w:start="1"/>
          <w:cols w:space="720" w:num="1"/>
          <w:titlePg/>
          <w:docGrid w:type="linesAndChars" w:linePitch="312" w:charSpace="0"/>
        </w:sectPr>
      </w:pPr>
    </w:p>
    <w:p w14:paraId="508EBA82">
      <w:pPr>
        <w:pStyle w:val="2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0" w:firstLineChars="0"/>
        <w:jc w:val="left"/>
        <w:textAlignment w:val="auto"/>
        <w:outlineLvl w:val="0"/>
        <w:rPr>
          <w:rFonts w:ascii="Times New Roman" w:hAnsi="Times New Roman" w:cs="Times New Roman"/>
          <w:sz w:val="32"/>
        </w:rPr>
      </w:pPr>
      <w:r>
        <w:rPr>
          <w:rFonts w:hint="eastAsia" w:ascii="Times New Roman" w:hAnsi="Times New Roman" w:cs="Times New Roman"/>
          <w:sz w:val="32"/>
          <w:lang w:val="en-US" w:eastAsia="zh-CN"/>
        </w:rPr>
        <w:t>项目说明</w:t>
      </w:r>
    </w:p>
    <w:p w14:paraId="032F2D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360" w:lineRule="auto"/>
        <w:ind w:left="0" w:firstLine="480" w:firstLineChars="200"/>
        <w:jc w:val="left"/>
        <w:textAlignment w:val="auto"/>
        <w:rPr>
          <w:rFonts w:hint="eastAsia" w:ascii="Times New Roman" w:hAnsi="Times New Roman" w:eastAsia="宋体" w:cs="宋体"/>
          <w:b w:val="0"/>
          <w:bCs w:val="0"/>
          <w:i w:val="0"/>
          <w:iCs w:val="0"/>
          <w:caps w:val="0"/>
          <w:smallCaps w:val="0"/>
          <w:color w:val="auto"/>
          <w:spacing w:val="0"/>
          <w:kern w:val="0"/>
          <w:sz w:val="24"/>
          <w:szCs w:val="31"/>
          <w:lang w:val="en-US" w:eastAsia="zh-CN" w:bidi="ar"/>
        </w:rPr>
      </w:pPr>
      <w:r>
        <w:rPr>
          <w:rFonts w:hint="eastAsia" w:ascii="Times New Roman" w:hAnsi="Times New Roman" w:eastAsia="宋体" w:cs="宋体"/>
          <w:b w:val="0"/>
          <w:bCs w:val="0"/>
          <w:i w:val="0"/>
          <w:iCs w:val="0"/>
          <w:caps w:val="0"/>
          <w:smallCaps w:val="0"/>
          <w:color w:val="auto"/>
          <w:spacing w:val="0"/>
          <w:kern w:val="0"/>
          <w:sz w:val="24"/>
          <w:szCs w:val="31"/>
          <w:lang w:val="en-US" w:eastAsia="zh-CN" w:bidi="ar"/>
        </w:rPr>
        <w:t>在儿童成长过程中，准确评估其生长发育状况对于及时发现潜在问题、保障儿童健康成长至关重要。骨龄作为反映儿童骨骼发育成熟程度的重要指标，能够较为准确地评估儿童的生长潜力和发育阶段，为临床诊断和治疗提供重要依据。传统诊断方法的局限性，传统的骨龄评估方法主要依靠人工读片，通过放射科医生或专业人员观察儿童手部X片上骨骼的形态、结构和发育特征来判断骨龄。这种方法过程耗时较长，效率较低、且记忆容易混乱。此外人工读片对于细微的骨骼变化可能不够敏感，容易出现误诊或漏诊的情况。</w:t>
      </w:r>
    </w:p>
    <w:p w14:paraId="7752B83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right="0" w:firstLine="480" w:firstLineChars="200"/>
        <w:textAlignment w:val="auto"/>
        <w:rPr>
          <w:rFonts w:ascii="Times New Roman" w:hAnsi="Times New Roman" w:cs="Times New Roman"/>
          <w:sz w:val="32"/>
        </w:rPr>
      </w:pPr>
      <w:r>
        <w:rPr>
          <w:rFonts w:hint="eastAsia" w:ascii="Times New Roman" w:hAnsi="Times New Roman" w:eastAsia="宋体" w:cs="宋体"/>
          <w:b w:val="0"/>
          <w:bCs w:val="0"/>
          <w:i w:val="0"/>
          <w:iCs w:val="0"/>
          <w:caps w:val="0"/>
          <w:smallCaps w:val="0"/>
          <w:color w:val="auto"/>
          <w:spacing w:val="0"/>
          <w:kern w:val="0"/>
          <w:sz w:val="24"/>
          <w:szCs w:val="31"/>
          <w:lang w:val="en-US" w:eastAsia="zh-CN" w:bidi="ar"/>
        </w:rPr>
        <w:t>随着医学影像学技术、计算机技术的不断发展，为研发更加准确、提高骨龄诊断的准确性和可靠性。我司整合现有资源，将X光片与软件产品相结合，使得软件产品能够</w:t>
      </w:r>
      <w:r>
        <w:rPr>
          <w:rFonts w:hint="eastAsia" w:ascii="Times New Roman" w:hAnsi="Times New Roman" w:eastAsia="宋体" w:cs="宋体"/>
          <w:i w:val="0"/>
          <w:iCs w:val="0"/>
          <w:caps w:val="0"/>
          <w:smallCaps w:val="0"/>
          <w:color w:val="auto"/>
          <w:spacing w:val="0"/>
          <w:sz w:val="24"/>
          <w:szCs w:val="28"/>
        </w:rPr>
        <w:t>对儿童手部X射线影像图片进行曝光、放大、翻转</w:t>
      </w:r>
      <w:r>
        <w:rPr>
          <w:rFonts w:hint="eastAsia" w:ascii="Times New Roman" w:hAnsi="Times New Roman" w:eastAsia="宋体" w:cs="宋体"/>
          <w:i w:val="0"/>
          <w:iCs w:val="0"/>
          <w:caps w:val="0"/>
          <w:smallCaps w:val="0"/>
          <w:color w:val="auto"/>
          <w:spacing w:val="0"/>
          <w:sz w:val="24"/>
          <w:szCs w:val="28"/>
          <w:lang w:eastAsia="zh-CN"/>
        </w:rPr>
        <w:t>，</w:t>
      </w:r>
      <w:r>
        <w:rPr>
          <w:rFonts w:hint="eastAsia" w:ascii="Times New Roman" w:hAnsi="Times New Roman" w:eastAsia="宋体" w:cs="宋体"/>
          <w:i w:val="0"/>
          <w:iCs w:val="0"/>
          <w:caps w:val="0"/>
          <w:smallCaps w:val="0"/>
          <w:color w:val="auto"/>
          <w:spacing w:val="0"/>
          <w:sz w:val="24"/>
          <w:szCs w:val="28"/>
          <w:lang w:val="en-US" w:eastAsia="zh-CN"/>
        </w:rPr>
        <w:t>并主动提供可供选择的骨龄评价方法供医生学习和对照，辅助其进行临床决策。</w:t>
      </w:r>
    </w:p>
    <w:p w14:paraId="48BBAD17">
      <w:pPr>
        <w:pStyle w:val="2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0" w:firstLineChars="0"/>
        <w:jc w:val="left"/>
        <w:textAlignment w:val="auto"/>
        <w:outlineLvl w:val="0"/>
        <w:rPr>
          <w:rFonts w:ascii="Times New Roman" w:hAnsi="Times New Roman" w:cs="Times New Roman"/>
          <w:sz w:val="32"/>
        </w:rPr>
      </w:pPr>
      <w:r>
        <w:rPr>
          <w:rFonts w:hint="eastAsia" w:ascii="Times New Roman" w:hAnsi="Times New Roman" w:cs="Times New Roman"/>
          <w:sz w:val="32"/>
          <w:lang w:val="en-US" w:eastAsia="zh-CN"/>
        </w:rPr>
        <w:t>产品描述</w:t>
      </w:r>
    </w:p>
    <w:p w14:paraId="06B6698B">
      <w:pPr>
        <w:pStyle w:val="21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-420" w:leftChars="0"/>
        <w:jc w:val="left"/>
        <w:textAlignment w:val="auto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产品概述</w:t>
      </w:r>
    </w:p>
    <w:p w14:paraId="2FCB286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right="0" w:rightChars="0" w:firstLine="480" w:firstLineChars="200"/>
        <w:textAlignment w:val="auto"/>
        <w:rPr>
          <w:rFonts w:hint="eastAsia" w:ascii="Times New Roman" w:hAnsi="Times New Roman" w:eastAsia="宋体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highlight w:val="none"/>
        </w:rPr>
        <w:t>本产品的</w:t>
      </w:r>
      <w:r>
        <w:rPr>
          <w:rFonts w:hint="eastAsia" w:cs="Times New Roman"/>
          <w:color w:val="000000"/>
          <w:sz w:val="24"/>
          <w:szCs w:val="24"/>
          <w:highlight w:val="none"/>
          <w:lang w:val="en-US" w:eastAsia="zh-CN"/>
        </w:rPr>
        <w:t>核心功能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highlight w:val="none"/>
        </w:rPr>
        <w:t>为</w:t>
      </w:r>
      <w:r>
        <w:rPr>
          <w:rFonts w:hint="eastAsia" w:cs="Times New Roman"/>
          <w:color w:val="000000"/>
          <w:sz w:val="24"/>
          <w:szCs w:val="24"/>
          <w:highlight w:val="none"/>
          <w:lang w:val="en-US" w:eastAsia="zh-CN"/>
        </w:rPr>
        <w:t>对</w:t>
      </w:r>
      <w:r>
        <w:rPr>
          <w:rFonts w:hint="eastAsia" w:cs="Times New Roman"/>
          <w:sz w:val="24"/>
          <w:szCs w:val="24"/>
          <w:lang w:val="en-US" w:eastAsia="zh-CN"/>
        </w:rPr>
        <w:t>儿童手部X射线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进行曝光、放大、翻转</w:t>
      </w:r>
      <w:r>
        <w:rPr>
          <w:rFonts w:hint="eastAsia" w:cs="宋体"/>
          <w:color w:val="auto"/>
          <w:spacing w:val="-4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辅助医生进行骨龄评价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  <w:lang w:eastAsia="zh-CN"/>
        </w:rPr>
        <w:t>。</w:t>
      </w:r>
    </w:p>
    <w:p w14:paraId="1653EECE">
      <w:pPr>
        <w:pStyle w:val="21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-420" w:leftChars="0" w:firstLine="480" w:firstLineChars="200"/>
        <w:jc w:val="left"/>
        <w:textAlignment w:val="auto"/>
        <w:outlineLvl w:val="1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产品特性</w:t>
      </w:r>
    </w:p>
    <w:p w14:paraId="46582C0C">
      <w:pPr>
        <w:pStyle w:val="2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0" w:firstLine="420" w:firstLineChars="0"/>
        <w:jc w:val="left"/>
        <w:textAlignment w:val="auto"/>
        <w:outlineLvl w:val="1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本软件主要由</w:t>
      </w:r>
      <w:r>
        <w:rPr>
          <w:rFonts w:hint="eastAsia" w:cs="宋体"/>
          <w:color w:val="auto"/>
          <w:spacing w:val="-4"/>
          <w:sz w:val="24"/>
          <w:szCs w:val="24"/>
          <w:lang w:val="en-US" w:eastAsia="zh-CN"/>
        </w:rPr>
        <w:t>登录模块、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  <w:lang w:val="en-US" w:eastAsia="zh-CN"/>
        </w:rPr>
        <w:t>问诊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模块，骨龄评价模块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  <w:lang w:eastAsia="zh-CN"/>
        </w:rPr>
        <w:t>、评价报告模块、档案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模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块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和未完成模块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</w:rPr>
        <w:t>组成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eastAsia="zh-CN"/>
        </w:rPr>
        <w:t>。</w:t>
      </w:r>
    </w:p>
    <w:p w14:paraId="13244BBB">
      <w:pPr>
        <w:pStyle w:val="2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0" w:firstLineChars="0"/>
        <w:jc w:val="left"/>
        <w:textAlignment w:val="auto"/>
        <w:outlineLvl w:val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目标客户分析</w:t>
      </w:r>
    </w:p>
    <w:p w14:paraId="30FFFC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464" w:firstLineChars="200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4"/>
          <w:sz w:val="24"/>
          <w:szCs w:val="24"/>
          <w:lang w:val="en-US" w:eastAsia="zh-CN"/>
        </w:rPr>
        <w:t>本产品为B/S架构影像处理软件，使用对象或操作对象为</w:t>
      </w:r>
      <w:r>
        <w:rPr>
          <w:rFonts w:hint="eastAsia" w:eastAsia="宋体"/>
          <w:sz w:val="24"/>
          <w:szCs w:val="24"/>
          <w:lang w:eastAsia="zh-CN"/>
        </w:rPr>
        <w:t>进行影像处理的医生/操作人员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。</w:t>
      </w:r>
    </w:p>
    <w:p w14:paraId="167E5EA9">
      <w:pPr>
        <w:pStyle w:val="2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0" w:firstLineChars="0"/>
        <w:jc w:val="left"/>
        <w:textAlignment w:val="auto"/>
        <w:outlineLvl w:val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市场分析</w:t>
      </w:r>
    </w:p>
    <w:p w14:paraId="08711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ascii="Times New Roman" w:hAnsi="Times New Roman" w:cs="Times New Roman"/>
          <w:sz w:val="28"/>
        </w:rPr>
      </w:pPr>
      <w:r>
        <w:rPr>
          <w:rFonts w:hint="eastAsia" w:ascii="宋体" w:hAnsi="宋体" w:cs="楷体_GB2312"/>
          <w:sz w:val="24"/>
          <w:szCs w:val="24"/>
          <w:lang w:val="en-US" w:eastAsia="zh-CN"/>
        </w:rPr>
        <w:t>随着儿童异常筛查需求增加，医学影像软件市场不断扩张，中国儿童医疗影像检查次数预计2030年复合增长率达5%-7%，市场规模突破150亿元。细分领域中，儿童手部X射线影像处理软件因政策倾斜和技术突破，增速或高于行业均值，中国儿童手部X射线影像处理软件市场规模预计从2025年的8亿元增至2030年的20亿元。</w:t>
      </w:r>
    </w:p>
    <w:p w14:paraId="260A0A3A">
      <w:pPr>
        <w:pStyle w:val="2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0" w:firstLineChars="0"/>
        <w:jc w:val="left"/>
        <w:textAlignment w:val="auto"/>
        <w:outlineLvl w:val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产品规划</w:t>
      </w:r>
    </w:p>
    <w:p w14:paraId="66D1C07E">
      <w:pPr>
        <w:pStyle w:val="21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-420" w:leftChars="0"/>
        <w:jc w:val="left"/>
        <w:textAlignment w:val="auto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战略规划</w:t>
      </w:r>
    </w:p>
    <w:p w14:paraId="12D3A51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产品使命：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用于对</w:t>
      </w:r>
      <w:r>
        <w:rPr>
          <w:rFonts w:hint="eastAsia" w:cs="Times New Roman"/>
          <w:sz w:val="24"/>
          <w:szCs w:val="24"/>
          <w:lang w:val="en-US" w:eastAsia="zh-CN"/>
        </w:rPr>
        <w:t>儿童手部X射线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进行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曝光、放大、翻转</w:t>
      </w:r>
      <w:r>
        <w:rPr>
          <w:rFonts w:hint="eastAsia" w:cs="宋体"/>
          <w:color w:val="auto"/>
          <w:spacing w:val="-4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辅助医生进行骨龄评价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。</w:t>
      </w:r>
    </w:p>
    <w:p w14:paraId="29F4FE0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目标客户：进行影像处理的医生/操作人员。</w:t>
      </w:r>
    </w:p>
    <w:p w14:paraId="103117B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产品定位：适用于对</w:t>
      </w:r>
      <w:r>
        <w:rPr>
          <w:rFonts w:hint="eastAsia" w:cs="Times New Roman"/>
          <w:sz w:val="24"/>
          <w:szCs w:val="24"/>
          <w:lang w:val="en-US" w:eastAsia="zh-CN"/>
        </w:rPr>
        <w:t>儿童手部X射线影像处理有使用需求的医院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。</w:t>
      </w:r>
    </w:p>
    <w:p w14:paraId="7572B788">
      <w:pPr>
        <w:pStyle w:val="21"/>
        <w:widowControl/>
        <w:numPr>
          <w:ilvl w:val="0"/>
          <w:numId w:val="3"/>
        </w:numPr>
        <w:ind w:left="-420" w:leftChars="0" w:firstLine="480" w:firstLineChars="200"/>
        <w:jc w:val="left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路标规划</w:t>
      </w:r>
    </w:p>
    <w:tbl>
      <w:tblPr>
        <w:tblStyle w:val="35"/>
        <w:tblW w:w="499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5"/>
        <w:gridCol w:w="3867"/>
        <w:gridCol w:w="2678"/>
      </w:tblGrid>
      <w:tr w14:paraId="151163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vAlign w:val="center"/>
          </w:tcPr>
          <w:p w14:paraId="6EBD505B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sz w:val="24"/>
                <w:szCs w:val="24"/>
              </w:rPr>
              <w:t>活动</w:t>
            </w:r>
          </w:p>
        </w:tc>
        <w:tc>
          <w:tcPr>
            <w:tcW w:w="2326" w:type="pct"/>
            <w:vAlign w:val="center"/>
          </w:tcPr>
          <w:p w14:paraId="396B8B3C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7"/>
                <w:sz w:val="24"/>
                <w:szCs w:val="24"/>
              </w:rPr>
              <w:t>任务</w:t>
            </w:r>
          </w:p>
        </w:tc>
        <w:tc>
          <w:tcPr>
            <w:tcW w:w="1611" w:type="pct"/>
            <w:vAlign w:val="center"/>
          </w:tcPr>
          <w:p w14:paraId="65731FB9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4"/>
                <w:sz w:val="24"/>
                <w:szCs w:val="24"/>
              </w:rPr>
              <w:t>生存周期阶段</w:t>
            </w:r>
          </w:p>
        </w:tc>
      </w:tr>
      <w:tr w14:paraId="2D28E9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vAlign w:val="center"/>
          </w:tcPr>
          <w:p w14:paraId="3E669914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3"/>
                <w:sz w:val="24"/>
                <w:szCs w:val="24"/>
              </w:rPr>
              <w:t>开发策划</w:t>
            </w:r>
          </w:p>
        </w:tc>
        <w:tc>
          <w:tcPr>
            <w:tcW w:w="2326" w:type="pct"/>
            <w:vAlign w:val="center"/>
          </w:tcPr>
          <w:p w14:paraId="07DF22FE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2"/>
                <w:sz w:val="24"/>
                <w:szCs w:val="24"/>
              </w:rPr>
              <w:t>市场调研、收集产品需求</w:t>
            </w:r>
          </w:p>
        </w:tc>
        <w:tc>
          <w:tcPr>
            <w:tcW w:w="1611" w:type="pct"/>
            <w:vAlign w:val="center"/>
          </w:tcPr>
          <w:p w14:paraId="6773A232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3"/>
                <w:sz w:val="24"/>
                <w:szCs w:val="24"/>
              </w:rPr>
              <w:t>概念阶段</w:t>
            </w:r>
          </w:p>
        </w:tc>
      </w:tr>
      <w:tr w14:paraId="52B88E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vAlign w:val="center"/>
          </w:tcPr>
          <w:p w14:paraId="17190E8C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4"/>
                <w:sz w:val="24"/>
                <w:szCs w:val="24"/>
              </w:rPr>
              <w:t>项目计划</w:t>
            </w:r>
          </w:p>
        </w:tc>
        <w:tc>
          <w:tcPr>
            <w:tcW w:w="2326" w:type="pct"/>
            <w:vAlign w:val="center"/>
          </w:tcPr>
          <w:p w14:paraId="5856C0E7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2"/>
                <w:sz w:val="24"/>
                <w:szCs w:val="24"/>
              </w:rPr>
              <w:t>制定项目开发计划</w:t>
            </w:r>
          </w:p>
        </w:tc>
        <w:tc>
          <w:tcPr>
            <w:tcW w:w="1611" w:type="pct"/>
            <w:vAlign w:val="center"/>
          </w:tcPr>
          <w:p w14:paraId="30CEFD29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3"/>
                <w:sz w:val="24"/>
                <w:szCs w:val="24"/>
              </w:rPr>
              <w:t>计划阶段</w:t>
            </w:r>
          </w:p>
        </w:tc>
      </w:tr>
      <w:tr w14:paraId="0B6193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vAlign w:val="center"/>
          </w:tcPr>
          <w:p w14:paraId="75B504CD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6"/>
                <w:sz w:val="24"/>
                <w:szCs w:val="24"/>
              </w:rPr>
              <w:t>需求分析</w:t>
            </w:r>
          </w:p>
        </w:tc>
        <w:tc>
          <w:tcPr>
            <w:tcW w:w="2326" w:type="pct"/>
            <w:vAlign w:val="center"/>
          </w:tcPr>
          <w:p w14:paraId="04CC14D2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"/>
                <w:sz w:val="24"/>
                <w:szCs w:val="24"/>
              </w:rPr>
              <w:t>从系统层面需求确定软件系统需求</w:t>
            </w:r>
          </w:p>
        </w:tc>
        <w:tc>
          <w:tcPr>
            <w:tcW w:w="1611" w:type="pct"/>
            <w:vAlign w:val="center"/>
          </w:tcPr>
          <w:p w14:paraId="4C1A21F5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1"/>
                <w:sz w:val="24"/>
                <w:szCs w:val="24"/>
              </w:rPr>
              <w:t>计划阶段、设计开发阶段</w:t>
            </w:r>
          </w:p>
        </w:tc>
      </w:tr>
      <w:tr w14:paraId="70EC52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vAlign w:val="center"/>
          </w:tcPr>
          <w:p w14:paraId="4B19FC55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4"/>
                <w:sz w:val="24"/>
                <w:szCs w:val="24"/>
              </w:rPr>
              <w:t>系统设计</w:t>
            </w:r>
          </w:p>
        </w:tc>
        <w:tc>
          <w:tcPr>
            <w:tcW w:w="2326" w:type="pct"/>
            <w:vAlign w:val="center"/>
          </w:tcPr>
          <w:p w14:paraId="1177AD1A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2"/>
                <w:sz w:val="24"/>
                <w:szCs w:val="24"/>
              </w:rPr>
              <w:t>软件系统架构设计</w:t>
            </w:r>
          </w:p>
        </w:tc>
        <w:tc>
          <w:tcPr>
            <w:tcW w:w="1611" w:type="pct"/>
            <w:vAlign w:val="center"/>
          </w:tcPr>
          <w:p w14:paraId="157ABD05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3"/>
                <w:sz w:val="24"/>
                <w:szCs w:val="24"/>
              </w:rPr>
              <w:t>设计开发阶段</w:t>
            </w:r>
          </w:p>
        </w:tc>
      </w:tr>
      <w:tr w14:paraId="0435E7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vAlign w:val="center"/>
          </w:tcPr>
          <w:p w14:paraId="1496AC31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3"/>
                <w:sz w:val="24"/>
                <w:szCs w:val="24"/>
              </w:rPr>
              <w:t>编码实现</w:t>
            </w:r>
          </w:p>
        </w:tc>
        <w:tc>
          <w:tcPr>
            <w:tcW w:w="2326" w:type="pct"/>
            <w:vAlign w:val="center"/>
          </w:tcPr>
          <w:p w14:paraId="3901428F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"/>
                <w:sz w:val="24"/>
                <w:szCs w:val="24"/>
              </w:rPr>
              <w:t>完成源代码的编写，提交程序</w:t>
            </w:r>
          </w:p>
        </w:tc>
        <w:tc>
          <w:tcPr>
            <w:tcW w:w="1611" w:type="pct"/>
            <w:vAlign w:val="center"/>
          </w:tcPr>
          <w:p w14:paraId="76D32253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2"/>
                <w:sz w:val="24"/>
                <w:szCs w:val="24"/>
              </w:rPr>
              <w:t>设计开发阶段、编码阶段</w:t>
            </w:r>
          </w:p>
        </w:tc>
      </w:tr>
      <w:tr w14:paraId="65249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vAlign w:val="center"/>
          </w:tcPr>
          <w:p w14:paraId="1A0E7F45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4"/>
                <w:sz w:val="24"/>
                <w:szCs w:val="24"/>
              </w:rPr>
              <w:t>系统测试</w:t>
            </w:r>
          </w:p>
        </w:tc>
        <w:tc>
          <w:tcPr>
            <w:tcW w:w="2326" w:type="pct"/>
            <w:vAlign w:val="center"/>
          </w:tcPr>
          <w:p w14:paraId="2BE266DE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3"/>
                <w:sz w:val="24"/>
                <w:szCs w:val="24"/>
              </w:rPr>
              <w:t>发现软件缺陷</w:t>
            </w:r>
          </w:p>
        </w:tc>
        <w:tc>
          <w:tcPr>
            <w:tcW w:w="1611" w:type="pct"/>
            <w:vAlign w:val="center"/>
          </w:tcPr>
          <w:p w14:paraId="5D0E298A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3"/>
                <w:sz w:val="24"/>
                <w:szCs w:val="24"/>
              </w:rPr>
              <w:t>验证阶段</w:t>
            </w:r>
          </w:p>
        </w:tc>
      </w:tr>
      <w:tr w14:paraId="148E45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vAlign w:val="center"/>
          </w:tcPr>
          <w:p w14:paraId="0D021D3A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2"/>
                <w:sz w:val="24"/>
                <w:szCs w:val="24"/>
              </w:rPr>
              <w:t>验证和确认</w:t>
            </w:r>
          </w:p>
        </w:tc>
        <w:tc>
          <w:tcPr>
            <w:tcW w:w="2326" w:type="pct"/>
            <w:vAlign w:val="center"/>
          </w:tcPr>
          <w:p w14:paraId="2AF802A4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"/>
                <w:sz w:val="24"/>
                <w:szCs w:val="24"/>
              </w:rPr>
              <w:t>确保产品满足预期用途</w:t>
            </w:r>
          </w:p>
        </w:tc>
        <w:tc>
          <w:tcPr>
            <w:tcW w:w="1611" w:type="pct"/>
            <w:vAlign w:val="center"/>
          </w:tcPr>
          <w:p w14:paraId="6C8200DA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"/>
                <w:sz w:val="24"/>
                <w:szCs w:val="24"/>
              </w:rPr>
              <w:t>验证阶段、发布阶段</w:t>
            </w:r>
          </w:p>
        </w:tc>
      </w:tr>
      <w:tr w14:paraId="2226C5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2" w:type="pct"/>
            <w:shd w:val="clear" w:color="auto" w:fill="auto"/>
            <w:vAlign w:val="center"/>
          </w:tcPr>
          <w:p w14:paraId="67A7277A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2"/>
                <w:sz w:val="24"/>
                <w:szCs w:val="24"/>
              </w:rPr>
              <w:t>运维和监测</w:t>
            </w:r>
          </w:p>
        </w:tc>
        <w:tc>
          <w:tcPr>
            <w:tcW w:w="2326" w:type="pct"/>
            <w:shd w:val="clear" w:color="auto" w:fill="auto"/>
            <w:vAlign w:val="center"/>
          </w:tcPr>
          <w:p w14:paraId="08133178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2"/>
                <w:sz w:val="24"/>
                <w:szCs w:val="24"/>
              </w:rPr>
              <w:t>修复发现的缺陷</w:t>
            </w:r>
          </w:p>
        </w:tc>
        <w:tc>
          <w:tcPr>
            <w:tcW w:w="1611" w:type="pct"/>
            <w:shd w:val="clear" w:color="auto" w:fill="auto"/>
            <w:vAlign w:val="center"/>
          </w:tcPr>
          <w:p w14:paraId="03613B3C">
            <w:pPr>
              <w:pStyle w:val="3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2"/>
                <w:sz w:val="24"/>
                <w:szCs w:val="24"/>
              </w:rPr>
              <w:t>生命周期阶段</w:t>
            </w:r>
          </w:p>
        </w:tc>
      </w:tr>
    </w:tbl>
    <w:p w14:paraId="65EB4FEB">
      <w:pPr>
        <w:pStyle w:val="21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-420" w:leftChars="0" w:firstLine="480" w:firstLineChars="200"/>
        <w:jc w:val="left"/>
        <w:textAlignment w:val="auto"/>
        <w:outlineLvl w:val="1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营销策略</w:t>
      </w:r>
    </w:p>
    <w:p w14:paraId="3782B7B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 明确目标市场</w:t>
      </w:r>
    </w:p>
    <w:p w14:paraId="285E0BF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细分市场：根据软件的功能特性，明确主要面向的医疗机构类型（如大型综合医院、专科医院、社区卫生服务中心等）。</w:t>
      </w:r>
    </w:p>
    <w:p w14:paraId="0AB343F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用户画像：构建目标用户画像，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了解其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专业背景、使用习惯、决策流程等。</w:t>
      </w:r>
    </w:p>
    <w:p w14:paraId="4551DE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价值主张</w:t>
      </w:r>
    </w:p>
    <w:p w14:paraId="7FE8C05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核心优势：突出产品的核心竞争力，如提高工作效率、降低错误率、改善患者体验等。</w:t>
      </w:r>
    </w:p>
    <w:p w14:paraId="45D3710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差异化特色：强调与竞品相比的独特之处，比如更先进的算法、更好的用户体验、更全面的服务支持等。</w:t>
      </w:r>
    </w:p>
    <w:p w14:paraId="6484AB1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3 内容营销</w:t>
      </w:r>
    </w:p>
    <w:p w14:paraId="04DD5DC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专业知识分享：通过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软件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分享医疗行业的最新趋势、研究成果和最佳实践。</w:t>
      </w:r>
    </w:p>
    <w:p w14:paraId="347C8E0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教育性内容：制作教程视频、在线课程等教育资源，帮助用户更好地理解和使用软件。</w:t>
      </w:r>
    </w:p>
    <w:p w14:paraId="2EE979F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4 线上营销</w:t>
      </w:r>
    </w:p>
    <w:p w14:paraId="2BEECCF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社交媒体：利用微博、微信公众号、知乎等社交平台，建立品牌影响力，与潜在用户互动。</w:t>
      </w:r>
    </w:p>
    <w:p w14:paraId="23581D2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搜索引擎优化（SEO）：优化网站内容，提高在搜索引擎中的排名，吸引更多的有机流量。</w:t>
      </w:r>
    </w:p>
    <w:p w14:paraId="210F9696">
      <w:pPr>
        <w:pStyle w:val="21"/>
        <w:widowControl/>
        <w:numPr>
          <w:ilvl w:val="0"/>
          <w:numId w:val="1"/>
        </w:numPr>
        <w:ind w:firstLineChars="0"/>
        <w:jc w:val="left"/>
        <w:outlineLvl w:val="0"/>
        <w:rPr>
          <w:rFonts w:ascii="Times New Roman" w:hAnsi="Times New Roman" w:cs="Times New Roman"/>
          <w:sz w:val="32"/>
          <w:highlight w:val="none"/>
        </w:rPr>
      </w:pPr>
      <w:r>
        <w:rPr>
          <w:rFonts w:ascii="Times New Roman" w:hAnsi="Times New Roman" w:cs="Times New Roman"/>
          <w:sz w:val="32"/>
          <w:highlight w:val="none"/>
        </w:rPr>
        <w:t>预算</w:t>
      </w:r>
      <w:r>
        <w:rPr>
          <w:rFonts w:hint="eastAsia" w:ascii="Times New Roman" w:hAnsi="Times New Roman" w:cs="Times New Roman"/>
          <w:sz w:val="32"/>
          <w:highlight w:val="none"/>
        </w:rPr>
        <w:t>与规划</w:t>
      </w:r>
      <w:r>
        <w:rPr>
          <w:rFonts w:hint="eastAsia" w:ascii="Times New Roman" w:hAnsi="Times New Roman" w:cs="Times New Roman"/>
          <w:sz w:val="32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 w:val="32"/>
          <w:highlight w:val="none"/>
          <w:lang w:val="en-US" w:eastAsia="zh-CN"/>
        </w:rPr>
        <w:t>需要根据实际情况补充</w:t>
      </w:r>
      <w:r>
        <w:rPr>
          <w:rFonts w:hint="eastAsia" w:ascii="Times New Roman" w:hAnsi="Times New Roman" w:cs="Times New Roman"/>
          <w:sz w:val="32"/>
          <w:highlight w:val="none"/>
          <w:lang w:eastAsia="zh-CN"/>
        </w:rPr>
        <w:t>）</w:t>
      </w:r>
    </w:p>
    <w:p w14:paraId="05049E0E">
      <w:pPr>
        <w:pStyle w:val="21"/>
        <w:widowControl/>
        <w:numPr>
          <w:ilvl w:val="0"/>
          <w:numId w:val="4"/>
        </w:numPr>
        <w:spacing w:line="360" w:lineRule="auto"/>
        <w:ind w:leftChars="0"/>
        <w:jc w:val="left"/>
        <w:outlineLvl w:val="1"/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</w:rPr>
        <w:t>财务预算</w:t>
      </w:r>
    </w:p>
    <w:p w14:paraId="3958168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财务预算主要有以下几个方面：</w:t>
      </w:r>
    </w:p>
    <w:p w14:paraId="68D603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人员工资：主要包含软件开发人员工资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等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32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万元人民币；</w:t>
      </w:r>
    </w:p>
    <w:p w14:paraId="05B17CD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设备购买：软件开发所有电脑、测试用电脑、生产用电脑，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万元人民币；</w:t>
      </w:r>
    </w:p>
    <w:p w14:paraId="5CD997B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工作场地：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房租水电，预计4万元人民币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；</w:t>
      </w:r>
    </w:p>
    <w:p w14:paraId="2DD1B35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其它费用：预计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万元人民币；</w:t>
      </w:r>
    </w:p>
    <w:p w14:paraId="4741683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以上预算总计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43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万人民币。</w:t>
      </w:r>
    </w:p>
    <w:p w14:paraId="342DC354">
      <w:pPr>
        <w:pStyle w:val="21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80" w:firstLineChars="200"/>
        <w:jc w:val="left"/>
        <w:textAlignment w:val="auto"/>
        <w:outlineLvl w:val="1"/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</w:rPr>
        <w:t>人力资源规划</w:t>
      </w:r>
    </w:p>
    <w:tbl>
      <w:tblPr>
        <w:tblStyle w:val="14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75"/>
        <w:gridCol w:w="4191"/>
        <w:gridCol w:w="1276"/>
        <w:gridCol w:w="1185"/>
      </w:tblGrid>
      <w:tr w14:paraId="234BB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shd w:val="clear" w:color="auto" w:fill="E6E6E6"/>
            <w:vAlign w:val="center"/>
          </w:tcPr>
          <w:p w14:paraId="76EE38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275" w:type="dxa"/>
            <w:shd w:val="clear" w:color="auto" w:fill="E6E6E6"/>
            <w:vAlign w:val="center"/>
          </w:tcPr>
          <w:p w14:paraId="560E41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部门名称</w:t>
            </w:r>
          </w:p>
        </w:tc>
        <w:tc>
          <w:tcPr>
            <w:tcW w:w="4191" w:type="dxa"/>
            <w:shd w:val="clear" w:color="auto" w:fill="E6E6E6"/>
            <w:vAlign w:val="center"/>
          </w:tcPr>
          <w:p w14:paraId="352E27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角色及职能</w:t>
            </w:r>
          </w:p>
        </w:tc>
        <w:tc>
          <w:tcPr>
            <w:tcW w:w="1276" w:type="dxa"/>
            <w:shd w:val="clear" w:color="auto" w:fill="E6E6E6"/>
            <w:vAlign w:val="center"/>
          </w:tcPr>
          <w:p w14:paraId="3D9A73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人员数量</w:t>
            </w:r>
          </w:p>
        </w:tc>
        <w:tc>
          <w:tcPr>
            <w:tcW w:w="1185" w:type="dxa"/>
            <w:shd w:val="clear" w:color="auto" w:fill="E6E6E6"/>
            <w:vAlign w:val="center"/>
          </w:tcPr>
          <w:p w14:paraId="0893B6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负责人</w:t>
            </w:r>
          </w:p>
        </w:tc>
      </w:tr>
      <w:tr w14:paraId="4225E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20" w:type="dxa"/>
            <w:vAlign w:val="center"/>
          </w:tcPr>
          <w:p w14:paraId="1F19BFA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 w14:paraId="75E48A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技术部</w:t>
            </w:r>
          </w:p>
        </w:tc>
        <w:tc>
          <w:tcPr>
            <w:tcW w:w="4191" w:type="dxa"/>
            <w:vAlign w:val="center"/>
          </w:tcPr>
          <w:p w14:paraId="74575C5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编制项目进度，负责部分模块开发</w:t>
            </w:r>
          </w:p>
        </w:tc>
        <w:tc>
          <w:tcPr>
            <w:tcW w:w="1276" w:type="dxa"/>
            <w:vAlign w:val="center"/>
          </w:tcPr>
          <w:p w14:paraId="5AF307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</w:t>
            </w:r>
          </w:p>
        </w:tc>
        <w:tc>
          <w:tcPr>
            <w:tcW w:w="1185" w:type="dxa"/>
            <w:vAlign w:val="center"/>
          </w:tcPr>
          <w:p w14:paraId="05B883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刘克省</w:t>
            </w:r>
          </w:p>
        </w:tc>
      </w:tr>
      <w:tr w14:paraId="6920D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720" w:type="dxa"/>
            <w:vAlign w:val="center"/>
          </w:tcPr>
          <w:p w14:paraId="39128C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 w14:paraId="79D8E57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技术部</w:t>
            </w:r>
          </w:p>
        </w:tc>
        <w:tc>
          <w:tcPr>
            <w:tcW w:w="4191" w:type="dxa"/>
            <w:vAlign w:val="center"/>
          </w:tcPr>
          <w:p w14:paraId="107AF1A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负责产品功能的定义、规划和设计，搜集用户的新需求、竞争产品的资料，并进行需求分析、竞品分析以及研究产品的发展趋势等</w:t>
            </w:r>
          </w:p>
        </w:tc>
        <w:tc>
          <w:tcPr>
            <w:tcW w:w="1276" w:type="dxa"/>
            <w:vAlign w:val="center"/>
          </w:tcPr>
          <w:p w14:paraId="04AE52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</w:t>
            </w:r>
          </w:p>
        </w:tc>
        <w:tc>
          <w:tcPr>
            <w:tcW w:w="1185" w:type="dxa"/>
            <w:vAlign w:val="center"/>
          </w:tcPr>
          <w:p w14:paraId="6DCE23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侯瑞军</w:t>
            </w:r>
          </w:p>
        </w:tc>
      </w:tr>
      <w:tr w14:paraId="24E63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720" w:type="dxa"/>
            <w:vAlign w:val="center"/>
          </w:tcPr>
          <w:p w14:paraId="10A2CC3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 w14:paraId="20AAD7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技术部</w:t>
            </w:r>
          </w:p>
        </w:tc>
        <w:tc>
          <w:tcPr>
            <w:tcW w:w="4191" w:type="dxa"/>
            <w:vAlign w:val="center"/>
          </w:tcPr>
          <w:p w14:paraId="2D397F4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界面模块设计与开发，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后端</w:t>
            </w:r>
            <w:r>
              <w:rPr>
                <w:rFonts w:hint="eastAsia"/>
                <w:sz w:val="24"/>
                <w:szCs w:val="24"/>
              </w:rPr>
              <w:t>模块设计与开发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szCs w:val="24"/>
                <w:lang w:val="en-US" w:eastAsia="zh-CN"/>
              </w:rPr>
              <w:t>，配合测试bug修订和优化功能</w:t>
            </w:r>
          </w:p>
        </w:tc>
        <w:tc>
          <w:tcPr>
            <w:tcW w:w="1276" w:type="dxa"/>
            <w:vAlign w:val="center"/>
          </w:tcPr>
          <w:p w14:paraId="070588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</w:t>
            </w:r>
          </w:p>
        </w:tc>
        <w:tc>
          <w:tcPr>
            <w:tcW w:w="1185" w:type="dxa"/>
            <w:vAlign w:val="center"/>
          </w:tcPr>
          <w:p w14:paraId="5F7D46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窦刚</w:t>
            </w:r>
          </w:p>
        </w:tc>
      </w:tr>
      <w:tr w14:paraId="50105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720" w:type="dxa"/>
            <w:vAlign w:val="center"/>
          </w:tcPr>
          <w:p w14:paraId="3E9266D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5" w:type="dxa"/>
            <w:vAlign w:val="center"/>
          </w:tcPr>
          <w:p w14:paraId="4A46B2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技术部</w:t>
            </w:r>
          </w:p>
        </w:tc>
        <w:tc>
          <w:tcPr>
            <w:tcW w:w="4191" w:type="dxa"/>
            <w:vAlign w:val="center"/>
          </w:tcPr>
          <w:p w14:paraId="5E58C1B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负责策划、执行测试，维护测试记录</w:t>
            </w:r>
          </w:p>
        </w:tc>
        <w:tc>
          <w:tcPr>
            <w:tcW w:w="1276" w:type="dxa"/>
            <w:vAlign w:val="center"/>
          </w:tcPr>
          <w:p w14:paraId="640696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1185" w:type="dxa"/>
            <w:vAlign w:val="center"/>
          </w:tcPr>
          <w:p w14:paraId="1A3EC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卢立强</w:t>
            </w:r>
          </w:p>
        </w:tc>
      </w:tr>
    </w:tbl>
    <w:p w14:paraId="2F2E92A8">
      <w:pPr>
        <w:pStyle w:val="21"/>
        <w:widowControl/>
        <w:numPr>
          <w:ilvl w:val="0"/>
          <w:numId w:val="1"/>
        </w:numPr>
        <w:ind w:firstLineChars="0"/>
        <w:jc w:val="left"/>
        <w:outlineLvl w:val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风险分析</w:t>
      </w:r>
    </w:p>
    <w:p w14:paraId="1D5E8D2C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产品需求：</w:t>
      </w:r>
    </w:p>
    <w:p w14:paraId="69FF5B44">
      <w:pPr>
        <w:keepNext w:val="0"/>
        <w:keepLines w:val="0"/>
        <w:pageBreakBefore w:val="0"/>
        <w:widowControl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产品功能需求</w:t>
      </w:r>
    </w:p>
    <w:tbl>
      <w:tblPr>
        <w:tblStyle w:val="15"/>
        <w:tblW w:w="49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5000"/>
        <w:gridCol w:w="1412"/>
      </w:tblGrid>
      <w:tr w14:paraId="48619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2DE2BDB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模块</w:t>
            </w:r>
          </w:p>
        </w:tc>
        <w:tc>
          <w:tcPr>
            <w:tcW w:w="2938" w:type="pct"/>
            <w:noWrap w:val="0"/>
            <w:vAlign w:val="center"/>
          </w:tcPr>
          <w:p w14:paraId="572AAA6C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功能</w:t>
            </w:r>
          </w:p>
        </w:tc>
        <w:tc>
          <w:tcPr>
            <w:tcW w:w="829" w:type="pct"/>
            <w:noWrap w:val="0"/>
            <w:vAlign w:val="center"/>
          </w:tcPr>
          <w:p w14:paraId="12F88A70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78B67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vMerge w:val="restart"/>
            <w:noWrap w:val="0"/>
            <w:vAlign w:val="center"/>
          </w:tcPr>
          <w:p w14:paraId="3A2A237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登录模块</w:t>
            </w:r>
          </w:p>
        </w:tc>
        <w:tc>
          <w:tcPr>
            <w:tcW w:w="2938" w:type="pct"/>
            <w:noWrap w:val="0"/>
            <w:vAlign w:val="center"/>
          </w:tcPr>
          <w:p w14:paraId="4E6961F4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账号登陆</w:t>
            </w:r>
          </w:p>
        </w:tc>
        <w:tc>
          <w:tcPr>
            <w:tcW w:w="829" w:type="pct"/>
            <w:noWrap w:val="0"/>
            <w:vAlign w:val="center"/>
          </w:tcPr>
          <w:p w14:paraId="32E8359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6FC9B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vMerge w:val="continue"/>
            <w:noWrap w:val="0"/>
            <w:vAlign w:val="center"/>
          </w:tcPr>
          <w:p w14:paraId="2C31FEC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38" w:type="pct"/>
            <w:noWrap w:val="0"/>
            <w:vAlign w:val="center"/>
          </w:tcPr>
          <w:p w14:paraId="1F465321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记住密码</w:t>
            </w:r>
          </w:p>
        </w:tc>
        <w:tc>
          <w:tcPr>
            <w:tcW w:w="829" w:type="pct"/>
            <w:noWrap w:val="0"/>
            <w:vAlign w:val="center"/>
          </w:tcPr>
          <w:p w14:paraId="5CDF3AE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3121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vMerge w:val="continue"/>
            <w:noWrap w:val="0"/>
            <w:vAlign w:val="center"/>
          </w:tcPr>
          <w:p w14:paraId="7A948C6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38" w:type="pct"/>
            <w:noWrap w:val="0"/>
            <w:vAlign w:val="center"/>
          </w:tcPr>
          <w:p w14:paraId="7538C26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忘记密码</w:t>
            </w:r>
          </w:p>
        </w:tc>
        <w:tc>
          <w:tcPr>
            <w:tcW w:w="829" w:type="pct"/>
            <w:noWrap w:val="0"/>
            <w:vAlign w:val="center"/>
          </w:tcPr>
          <w:p w14:paraId="04B16D59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5AAC5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vMerge w:val="continue"/>
            <w:noWrap w:val="0"/>
            <w:vAlign w:val="center"/>
          </w:tcPr>
          <w:p w14:paraId="19E7B12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38" w:type="pct"/>
            <w:noWrap w:val="0"/>
            <w:vAlign w:val="center"/>
          </w:tcPr>
          <w:p w14:paraId="46AF9407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账号退出</w:t>
            </w:r>
          </w:p>
        </w:tc>
        <w:tc>
          <w:tcPr>
            <w:tcW w:w="829" w:type="pct"/>
            <w:noWrap w:val="0"/>
            <w:vAlign w:val="center"/>
          </w:tcPr>
          <w:p w14:paraId="706CDDF5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55811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4D7BBC3A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问诊模块</w:t>
            </w:r>
          </w:p>
        </w:tc>
        <w:tc>
          <w:tcPr>
            <w:tcW w:w="2938" w:type="pct"/>
            <w:noWrap w:val="0"/>
            <w:vAlign w:val="center"/>
          </w:tcPr>
          <w:p w14:paraId="7FE66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医生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患者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val="en-US" w:eastAsia="zh-CN"/>
              </w:rPr>
              <w:t>进行问诊，填写患者基本信息和历史病例。</w:t>
            </w:r>
          </w:p>
        </w:tc>
        <w:tc>
          <w:tcPr>
            <w:tcW w:w="829" w:type="pct"/>
            <w:noWrap w:val="0"/>
            <w:vAlign w:val="center"/>
          </w:tcPr>
          <w:p w14:paraId="7E7FB4E8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23524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31F96EA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骨龄评价模块</w:t>
            </w:r>
          </w:p>
        </w:tc>
        <w:tc>
          <w:tcPr>
            <w:tcW w:w="2938" w:type="pct"/>
            <w:noWrap w:val="0"/>
            <w:vAlign w:val="center"/>
          </w:tcPr>
          <w:p w14:paraId="40823247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上传光片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对光片进行对光片进行亮度、白平衡、负片、翻转，选择骨龄评价方法，输入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>骨骺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等级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val="en-US" w:eastAsia="zh-CN"/>
              </w:rPr>
              <w:t>存入未完成列表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val="en-US" w:eastAsia="zh-CN"/>
              </w:rPr>
              <w:t>生</w:t>
            </w:r>
            <w:r>
              <w:rPr>
                <w:rFonts w:hint="eastAsia" w:cs="宋体"/>
                <w:color w:val="auto"/>
                <w:spacing w:val="-1"/>
                <w:sz w:val="24"/>
                <w:szCs w:val="24"/>
                <w:lang w:val="en-US" w:eastAsia="zh-CN"/>
              </w:rPr>
              <w:t>成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报告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功能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。</w:t>
            </w:r>
          </w:p>
        </w:tc>
        <w:tc>
          <w:tcPr>
            <w:tcW w:w="829" w:type="pct"/>
            <w:noWrap w:val="0"/>
            <w:vAlign w:val="center"/>
          </w:tcPr>
          <w:p w14:paraId="1D37B3B0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7CA5D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576C4B7C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评价报告模块</w:t>
            </w:r>
          </w:p>
        </w:tc>
        <w:tc>
          <w:tcPr>
            <w:tcW w:w="2938" w:type="pct"/>
            <w:noWrap w:val="0"/>
            <w:vAlign w:val="center"/>
          </w:tcPr>
          <w:p w14:paraId="07FB8B75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  <w:t>展示骨龄评价结果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</w:rPr>
              <w:t>，输入诊断意见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</w:rPr>
              <w:t>，设置复诊时间、修改报告类型、参与纵向、新建监测、打印和导出报告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。</w:t>
            </w:r>
          </w:p>
        </w:tc>
        <w:tc>
          <w:tcPr>
            <w:tcW w:w="829" w:type="pct"/>
            <w:noWrap w:val="0"/>
            <w:vAlign w:val="center"/>
          </w:tcPr>
          <w:p w14:paraId="667171DC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3FF78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54CBEA08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档案模块</w:t>
            </w:r>
          </w:p>
        </w:tc>
        <w:tc>
          <w:tcPr>
            <w:tcW w:w="2938" w:type="pct"/>
            <w:noWrap w:val="0"/>
            <w:vAlign w:val="center"/>
          </w:tcPr>
          <w:p w14:paraId="25E94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档案搜索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病例显示</w:t>
            </w:r>
          </w:p>
        </w:tc>
        <w:tc>
          <w:tcPr>
            <w:tcW w:w="829" w:type="pct"/>
            <w:noWrap w:val="0"/>
            <w:vAlign w:val="center"/>
          </w:tcPr>
          <w:p w14:paraId="327026B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0933C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28B1F2A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未完成模块</w:t>
            </w:r>
          </w:p>
        </w:tc>
        <w:tc>
          <w:tcPr>
            <w:tcW w:w="2938" w:type="pct"/>
            <w:noWrap w:val="0"/>
            <w:vAlign w:val="center"/>
          </w:tcPr>
          <w:p w14:paraId="03BDB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未完成诊断档案搜索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病例显示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及对病例进行继续诊断或删除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829" w:type="pct"/>
            <w:noWrap w:val="0"/>
            <w:vAlign w:val="center"/>
          </w:tcPr>
          <w:p w14:paraId="2EFE7929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</w:tbl>
    <w:p w14:paraId="4DF23C6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bookmarkStart w:id="0" w:name="_GoBack"/>
      <w:bookmarkEnd w:id="0"/>
    </w:p>
    <w:p w14:paraId="02FC5F3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1.2 产品性能需求</w:t>
      </w:r>
    </w:p>
    <w:p w14:paraId="1DEEA58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测试所有控制键、设置键都能正常响应。</w:t>
      </w:r>
    </w:p>
    <w:p w14:paraId="75F7E57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提供快速访问工具栏，以便用户快速打开常用功能或任务。</w:t>
      </w:r>
    </w:p>
    <w:p w14:paraId="11B8007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1.3 产品非功能性需求</w:t>
      </w:r>
    </w:p>
    <w:p w14:paraId="64D3B8BB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425" w:leftChars="0" w:right="0" w:rightChars="0" w:hanging="425" w:firstLine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安全需求</w:t>
      </w:r>
    </w:p>
    <w:p w14:paraId="464CB50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软件产品需符合网络安全的相关规定，数据仅上传和导出，能确保数据传输安全，保证数据不外泄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。</w:t>
      </w:r>
    </w:p>
    <w:p w14:paraId="148BE89B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425" w:leftChars="0" w:right="0" w:rightChars="0" w:hanging="425" w:firstLine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维护性需求</w:t>
      </w:r>
    </w:p>
    <w:p w14:paraId="1825492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支持软件版本更新发布，支持软件更新。</w:t>
      </w:r>
    </w:p>
    <w:p w14:paraId="6A87F0D8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425" w:leftChars="0" w:right="0" w:rightChars="0" w:hanging="425" w:firstLine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性能需求</w:t>
      </w:r>
    </w:p>
    <w:p w14:paraId="0460C8A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软件应具有高度的响应速度和稳定性。</w:t>
      </w:r>
    </w:p>
    <w:p w14:paraId="7FE5D27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在多任务处理时应保持流畅，避免卡顿或延迟。</w:t>
      </w:r>
    </w:p>
    <w:p w14:paraId="40E9C7E6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技术风险即应对措施</w:t>
      </w:r>
    </w:p>
    <w:p w14:paraId="516E079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医学图像处理软件的技术风险是指在开发、测试、部署和使用过程中可能遇到的各种技术问题和挑战。这些风险不仅会影响软件的质量和性能，还可能对用户的医疗决策和患者的安全产生严重影响。以下是医学图像处理软件常见的技术风险及其应对措施：</w:t>
      </w:r>
    </w:p>
    <w:p w14:paraId="63CE7E7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2.1 数据质量问题</w:t>
      </w:r>
    </w:p>
    <w:p w14:paraId="6DA1CE3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风险：医学图像数据可能因为采集设备、传输过程或存储格式的问题而出现噪声、失真或丢失。</w:t>
      </w:r>
    </w:p>
    <w:p w14:paraId="2F192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应对措施：</w:t>
      </w:r>
    </w:p>
    <w:p w14:paraId="50A182F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使用高质量的图像采集设备和标准化的图像格式。</w:t>
      </w:r>
    </w:p>
    <w:p w14:paraId="4F2979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实施严格的数据质量检查和清洗流程。</w:t>
      </w:r>
    </w:p>
    <w:p w14:paraId="0DDB5FC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采用先进的图像预处理技术，如去噪、增强等。</w:t>
      </w:r>
    </w:p>
    <w:p w14:paraId="31C461B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2.2 算法准确性</w:t>
      </w:r>
    </w:p>
    <w:p w14:paraId="129D9B9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风险：图像处理算法的准确性直接影响诊断和治疗决策的可靠性。</w:t>
      </w:r>
    </w:p>
    <w:p w14:paraId="77048FA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应对措施：</w:t>
      </w:r>
    </w:p>
    <w:p w14:paraId="464BADE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选择经过验证的成熟算法，或自主研发并进行严格的验证和测试。</w:t>
      </w:r>
    </w:p>
    <w:p w14:paraId="5E27236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使用大数据和机器学习技术，不断优化算法的准确性。</w:t>
      </w:r>
    </w:p>
    <w:p w14:paraId="146C9AD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2.3 性能问题</w:t>
      </w:r>
    </w:p>
    <w:p w14:paraId="6AB1645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风险：医学图像处理软件可能因为处理大量数据而出现性能瓶颈，导致延迟和卡顿。</w:t>
      </w:r>
    </w:p>
    <w:p w14:paraId="51ED55E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应对措施：</w:t>
      </w:r>
    </w:p>
    <w:p w14:paraId="11CC9E8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优化算法和代码，提高计算效率。</w:t>
      </w:r>
    </w:p>
    <w:p w14:paraId="4FF8AF5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采用分布式计算和并行处理技术，分散计算负载。</w:t>
      </w:r>
    </w:p>
    <w:p w14:paraId="1B7B6EB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使用高性能硬件，如GPU加速器，提升处理速度。</w:t>
      </w:r>
    </w:p>
    <w:p w14:paraId="614F6CC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2.4 安全性和隐私保护</w:t>
      </w:r>
    </w:p>
    <w:p w14:paraId="7018B5C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风险：医学图像数据包含敏感的个人健康信息，泄露可能导致严重的法律和道德问题。</w:t>
      </w:r>
    </w:p>
    <w:p w14:paraId="6A3E6D6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应对措施：</w:t>
      </w:r>
    </w:p>
    <w:p w14:paraId="7BE4CDB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实施严格的数据加密和访问控制措施。</w:t>
      </w:r>
    </w:p>
    <w:p w14:paraId="0E163FE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定期进行安全审计和漏洞扫描，及时修复安全漏洞。</w:t>
      </w:r>
    </w:p>
    <w:p w14:paraId="01C6349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 w:rightChars="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用户界面和用户体验</w:t>
      </w:r>
    </w:p>
    <w:p w14:paraId="6AAA11D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风险：复杂的用户界面和不友好的用户体验可能导致用户操作错误，影响诊断和治疗效果。</w:t>
      </w:r>
    </w:p>
    <w:p w14:paraId="7E65FD7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应对措施：</w:t>
      </w:r>
    </w:p>
    <w:p w14:paraId="7D415E1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采用用户中心设计原则，确保界面简洁、直观。</w:t>
      </w:r>
    </w:p>
    <w:p w14:paraId="7B4FF63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进行用户测试和反馈收集，不断优化用户体验。</w:t>
      </w:r>
    </w:p>
    <w:p w14:paraId="7FBE655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提供详细的用户手册和在线培训课程，帮助用户快速上手。</w:t>
      </w:r>
    </w:p>
    <w:p w14:paraId="52E6FFD0">
      <w:pPr>
        <w:pStyle w:val="21"/>
        <w:widowControl/>
        <w:numPr>
          <w:ilvl w:val="0"/>
          <w:numId w:val="1"/>
        </w:numPr>
        <w:ind w:firstLineChars="0"/>
        <w:jc w:val="left"/>
        <w:outlineLvl w:val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结论</w:t>
      </w:r>
    </w:p>
    <w:p w14:paraId="5A6EF0E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0" w:right="0" w:rightChars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基于上述的分析与对策，该产品定义清晰、后续规划合理、目标客户明确、市场定位准确，公司市场、研发能力及财务预算也能够支撑本产品的进一步发展。公司认为该系统产品是可行的，该系统的实施将提高公司的竞争力，后期发展将能够整合公司现有的产品线，为公司的进一步发展奠定基础。</w:t>
      </w:r>
    </w:p>
    <w:p w14:paraId="349A6CFB">
      <w:pPr>
        <w:widowControl/>
        <w:jc w:val="left"/>
        <w:rPr>
          <w:rFonts w:ascii="Times New Roman" w:hAnsi="Times New Roman" w:cs="Times New Roman"/>
        </w:rPr>
      </w:pPr>
    </w:p>
    <w:sectPr>
      <w:headerReference r:id="rId8" w:type="first"/>
      <w:headerReference r:id="rId7" w:type="default"/>
      <w:footerReference r:id="rId9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90321">
    <w:pPr>
      <w:pStyle w:val="9"/>
      <w:jc w:val="center"/>
      <w:rPr>
        <w:rFonts w:hint="eastAsia"/>
      </w:rPr>
    </w:pPr>
    <w:r>
      <w:rPr>
        <w:rFonts w:hint="eastAsia" w:ascii="宋体" w:hAnsi="宋体" w:eastAsia="宋体" w:cs="宋体"/>
        <w:sz w:val="24"/>
        <w:szCs w:val="24"/>
      </w:rPr>
      <w:fldChar w:fldCharType="begin"/>
    </w:r>
    <w:r>
      <w:rPr>
        <w:rFonts w:hint="eastAsia" w:ascii="宋体" w:hAnsi="宋体" w:eastAsia="宋体" w:cs="宋体"/>
        <w:sz w:val="24"/>
        <w:szCs w:val="24"/>
      </w:rPr>
      <w:instrText xml:space="preserve"> PAGE  \* MERGEFORMAT </w:instrText>
    </w:r>
    <w:r>
      <w:rPr>
        <w:rFonts w:hint="eastAsia" w:ascii="宋体" w:hAnsi="宋体" w:eastAsia="宋体" w:cs="宋体"/>
        <w:sz w:val="24"/>
        <w:szCs w:val="24"/>
      </w:rPr>
      <w:fldChar w:fldCharType="separate"/>
    </w:r>
    <w:r>
      <w:rPr>
        <w:rFonts w:hint="eastAsia" w:ascii="宋体" w:hAnsi="宋体" w:eastAsia="宋体" w:cs="宋体"/>
        <w:sz w:val="24"/>
        <w:szCs w:val="24"/>
      </w:rPr>
      <w:t>1</w:t>
    </w:r>
    <w:r>
      <w:rPr>
        <w:rFonts w:hint="eastAsia" w:ascii="宋体" w:hAnsi="宋体" w:eastAsia="宋体" w:cs="宋体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8A144F">
    <w:pPr>
      <w:pStyle w:val="9"/>
      <w:framePr w:wrap="around" w:vAnchor="text" w:hAnchor="margin" w:xAlign="center" w:y="1"/>
      <w:tabs>
        <w:tab w:val="right" w:pos="8640"/>
        <w:tab w:val="clear" w:pos="4153"/>
        <w:tab w:val="clear" w:pos="8306"/>
      </w:tabs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 w14:paraId="0812B1D0">
    <w:pPr>
      <w:pStyle w:val="9"/>
      <w:tabs>
        <w:tab w:val="right" w:pos="8640"/>
        <w:tab w:val="clear" w:pos="4153"/>
        <w:tab w:val="clear" w:pos="8306"/>
      </w:tabs>
      <w:ind w:right="360" w:firstLine="360"/>
      <w:jc w:val="center"/>
    </w:pPr>
    <w:r>
      <w:rPr>
        <w:rFonts w:hint="eastAsia"/>
        <w:kern w:val="0"/>
        <w:szCs w:val="21"/>
      </w:rPr>
      <w:t xml:space="preserve">第 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64C12">
    <w:pPr>
      <w:ind w:right="360"/>
      <w:jc w:val="center"/>
    </w:pPr>
    <w:r>
      <w:rPr>
        <w:rFonts w:hint="eastAsia"/>
        <w:kern w:val="0"/>
        <w:szCs w:val="21"/>
      </w:rPr>
      <w:t xml:space="preserve">第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rPr>
        <w:rFonts w:hint="eastAsia"/>
        <w:kern w:val="0"/>
        <w:szCs w:val="21"/>
      </w:rPr>
      <w:t xml:space="preserve"> 页 共 </w:t>
    </w:r>
    <w:r>
      <w:fldChar w:fldCharType="begin"/>
    </w:r>
    <w:r>
      <w:instrText xml:space="preserve"> NUMPAGES </w:instrText>
    </w:r>
    <w:r>
      <w:fldChar w:fldCharType="separate"/>
    </w:r>
    <w:r>
      <w:t>5</w:t>
    </w:r>
    <w:r>
      <w:fldChar w:fldCharType="end"/>
    </w:r>
    <w:r>
      <w:rPr>
        <w:rFonts w:hint="eastAsia"/>
        <w:kern w:val="0"/>
        <w:szCs w:val="21"/>
      </w:rPr>
      <w:t xml:space="preserve"> 页</w:t>
    </w:r>
  </w:p>
  <w:p w14:paraId="508F1AE4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1FA510">
    <w:pPr>
      <w:pBdr>
        <w:bottom w:val="none" w:color="auto" w:sz="0" w:space="0"/>
      </w:pBdr>
      <w:snapToGrid w:val="0"/>
      <w:spacing w:line="360" w:lineRule="auto"/>
      <w:jc w:val="center"/>
      <w:rPr>
        <w:rFonts w:hint="default" w:ascii="宋体" w:hAnsi="宋体" w:eastAsia="宋体"/>
        <w:b/>
        <w:bCs/>
        <w:sz w:val="28"/>
        <w:szCs w:val="28"/>
        <w:lang w:val="en-US" w:eastAsia="zh-CN"/>
      </w:rPr>
    </w:pPr>
    <w:r>
      <w:rPr>
        <w:rFonts w:hint="eastAsia" w:ascii="宋体" w:hAnsi="宋体"/>
        <w:b/>
        <w:bCs/>
        <w:sz w:val="28"/>
        <w:szCs w:val="28"/>
        <w:lang w:val="en-US" w:eastAsia="zh-CN"/>
      </w:rPr>
      <w:t>风险管理报告</w:t>
    </w:r>
  </w:p>
  <w:p w14:paraId="4B07513F"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宋体" w:hAnsi="宋体"/>
        <w:sz w:val="24"/>
        <w:szCs w:val="24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7</w:t>
    </w:r>
    <w:r>
      <w:rPr>
        <w:rFonts w:ascii="宋体" w:hAnsi="宋体" w:cs="楷体"/>
        <w:sz w:val="24"/>
        <w:szCs w:val="28"/>
      </w:rPr>
      <w:t>-0</w:t>
    </w:r>
    <w:r>
      <w:rPr>
        <w:rFonts w:hint="eastAsia" w:ascii="宋体" w:hAnsi="宋体" w:cs="楷体"/>
        <w:sz w:val="24"/>
        <w:szCs w:val="28"/>
        <w:lang w:val="en-US" w:eastAsia="zh-CN"/>
      </w:rPr>
      <w:t>1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ADFD1E">
    <w:pPr>
      <w:pStyle w:val="10"/>
      <w:pBdr>
        <w:bottom w:val="single" w:color="auto" w:sz="4" w:space="1"/>
      </w:pBdr>
      <w:jc w:val="both"/>
    </w:pPr>
    <w:r>
      <w:fldChar w:fldCharType="begin"/>
    </w:r>
    <w:r>
      <w:instrText xml:space="preserve"> </w:instrText>
    </w:r>
    <w:r>
      <w:rPr>
        <w:rFonts w:hint="eastAsia"/>
      </w:rPr>
      <w:instrText xml:space="preserve">DOCPROPERTY "文件编号"  \* MERGEFORMAT</w:instrText>
    </w:r>
    <w:r>
      <w:instrText xml:space="preserve"> </w:instrText>
    </w:r>
    <w:r>
      <w:fldChar w:fldCharType="separate"/>
    </w:r>
    <w:r>
      <w:rPr>
        <w:rFonts w:hint="eastAsia"/>
        <w:b/>
        <w:bCs/>
      </w:rPr>
      <w:t>错误！未知的文档属性名称</w:t>
    </w:r>
    <w:r>
      <w:fldChar w:fldCharType="end"/>
    </w:r>
    <w:r>
      <w:rPr>
        <w:rFonts w:hint="eastAsia"/>
      </w:rPr>
      <w:t>（</w:t>
    </w:r>
    <w:r>
      <w:fldChar w:fldCharType="begin"/>
    </w:r>
    <w:r>
      <w:instrText xml:space="preserve"> </w:instrText>
    </w:r>
    <w:r>
      <w:rPr>
        <w:rFonts w:hint="eastAsia"/>
      </w:rPr>
      <w:instrText xml:space="preserve">DOCPROPERTY "版本"  \* MERGEFORMAT</w:instrText>
    </w:r>
    <w:r>
      <w:instrText xml:space="preserve"> </w:instrText>
    </w:r>
    <w:r>
      <w:fldChar w:fldCharType="separate"/>
    </w:r>
    <w:r>
      <w:rPr>
        <w:rFonts w:hint="eastAsia"/>
        <w:b/>
        <w:bCs/>
      </w:rPr>
      <w:t>错误！未知的文档属性名称</w:t>
    </w:r>
    <w:r>
      <w:fldChar w:fldCharType="end"/>
    </w:r>
    <w:r>
      <w:rPr>
        <w:rFonts w:hint="eastAsia"/>
      </w:rPr>
      <w:t>）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77323">
    <w:pPr>
      <w:pStyle w:val="10"/>
      <w:pBdr>
        <w:bottom w:val="none" w:color="auto" w:sz="0" w:space="1"/>
      </w:pBdr>
      <w:jc w:val="left"/>
      <w:rPr>
        <w:lang w:val="fr-FR"/>
      </w:rPr>
    </w:pPr>
    <w:r>
      <w:rPr>
        <w:rFonts w:hint="eastAsia" w:ascii="Arial Black" w:hAnsi="Arial Black" w:eastAsia="黑体"/>
      </w:rPr>
      <w:t xml:space="preserve">    </w:t>
    </w:r>
    <w:r>
      <w:rPr>
        <w:rFonts w:hint="eastAsia"/>
        <w:lang w:val="fr-FR"/>
      </w:rPr>
      <w:t xml:space="preserve">                        </w:t>
    </w:r>
    <w:r>
      <w:rPr>
        <w:lang w:val="fr-FR"/>
      </w:rPr>
      <w:tab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E913A">
    <w:pPr>
      <w:pStyle w:val="10"/>
      <w:pBdr>
        <w:bottom w:val="none" w:color="auto" w:sz="0" w:space="1"/>
      </w:pBdr>
      <w:jc w:val="left"/>
      <w:rPr>
        <w:lang w:val="fr-FR"/>
      </w:rPr>
    </w:pPr>
    <w:r>
      <w:rPr>
        <w:rFonts w:hint="eastAsia" w:ascii="Arial Black" w:hAnsi="Arial Black" w:eastAsia="黑体"/>
      </w:rPr>
      <w:t xml:space="preserve">    </w:t>
    </w:r>
    <w:r>
      <w:rPr>
        <w:rFonts w:hint="eastAsia"/>
        <w:lang w:val="fr-FR"/>
      </w:rPr>
      <w:t xml:space="preserve">                        </w:t>
    </w:r>
    <w:r>
      <w:rPr>
        <w:lang w:val="fr-FR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596997"/>
    <w:multiLevelType w:val="singleLevel"/>
    <w:tmpl w:val="8559699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8AD48AAC"/>
    <w:multiLevelType w:val="singleLevel"/>
    <w:tmpl w:val="8AD48AA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B7FE8D5"/>
    <w:multiLevelType w:val="singleLevel"/>
    <w:tmpl w:val="FB7FE8D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1469BE1B"/>
    <w:multiLevelType w:val="multilevel"/>
    <w:tmpl w:val="1469BE1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3BE861A3"/>
    <w:multiLevelType w:val="multilevel"/>
    <w:tmpl w:val="3BE861A3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lang w:val="en-US"/>
      </w:r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3856090"/>
    <w:multiLevelType w:val="singleLevel"/>
    <w:tmpl w:val="43856090"/>
    <w:lvl w:ilvl="0" w:tentative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5NDBkMjA2NjQ3YjIwYWU4NGNkN2FiODU4M2YwMGEifQ=="/>
  </w:docVars>
  <w:rsids>
    <w:rsidRoot w:val="0011652B"/>
    <w:rsid w:val="000072CF"/>
    <w:rsid w:val="000450C0"/>
    <w:rsid w:val="00084013"/>
    <w:rsid w:val="000952DC"/>
    <w:rsid w:val="000E3707"/>
    <w:rsid w:val="000F0789"/>
    <w:rsid w:val="00104968"/>
    <w:rsid w:val="0011572C"/>
    <w:rsid w:val="0011652B"/>
    <w:rsid w:val="001B3E0B"/>
    <w:rsid w:val="001E2B82"/>
    <w:rsid w:val="0022078D"/>
    <w:rsid w:val="00226BCA"/>
    <w:rsid w:val="00237754"/>
    <w:rsid w:val="0024116B"/>
    <w:rsid w:val="002609C7"/>
    <w:rsid w:val="00261B41"/>
    <w:rsid w:val="00285271"/>
    <w:rsid w:val="002B185E"/>
    <w:rsid w:val="002B57C3"/>
    <w:rsid w:val="0032439D"/>
    <w:rsid w:val="00335A9B"/>
    <w:rsid w:val="00343089"/>
    <w:rsid w:val="00382E3F"/>
    <w:rsid w:val="003A522A"/>
    <w:rsid w:val="003D07E3"/>
    <w:rsid w:val="003E2731"/>
    <w:rsid w:val="00411F5E"/>
    <w:rsid w:val="004243B6"/>
    <w:rsid w:val="00446C58"/>
    <w:rsid w:val="004515A7"/>
    <w:rsid w:val="00465861"/>
    <w:rsid w:val="004942EB"/>
    <w:rsid w:val="004A6BBD"/>
    <w:rsid w:val="004B7928"/>
    <w:rsid w:val="004C3D6E"/>
    <w:rsid w:val="004D17ED"/>
    <w:rsid w:val="00532CBF"/>
    <w:rsid w:val="00566858"/>
    <w:rsid w:val="00566F46"/>
    <w:rsid w:val="005A189A"/>
    <w:rsid w:val="005B6DD2"/>
    <w:rsid w:val="005D2BF2"/>
    <w:rsid w:val="005D4679"/>
    <w:rsid w:val="005F2A79"/>
    <w:rsid w:val="006102F1"/>
    <w:rsid w:val="0065460A"/>
    <w:rsid w:val="00661216"/>
    <w:rsid w:val="006618DB"/>
    <w:rsid w:val="0067429E"/>
    <w:rsid w:val="0069523F"/>
    <w:rsid w:val="006E358B"/>
    <w:rsid w:val="0070765E"/>
    <w:rsid w:val="00766E3E"/>
    <w:rsid w:val="007721F6"/>
    <w:rsid w:val="00785A4A"/>
    <w:rsid w:val="007A4C41"/>
    <w:rsid w:val="007A6BC9"/>
    <w:rsid w:val="007C6428"/>
    <w:rsid w:val="007D3BBC"/>
    <w:rsid w:val="00802C26"/>
    <w:rsid w:val="00810D82"/>
    <w:rsid w:val="0081514B"/>
    <w:rsid w:val="00844597"/>
    <w:rsid w:val="008515A3"/>
    <w:rsid w:val="008A0D71"/>
    <w:rsid w:val="008A26F2"/>
    <w:rsid w:val="00937440"/>
    <w:rsid w:val="009610AE"/>
    <w:rsid w:val="00963AAB"/>
    <w:rsid w:val="009775C2"/>
    <w:rsid w:val="0099614A"/>
    <w:rsid w:val="009D204B"/>
    <w:rsid w:val="009F1619"/>
    <w:rsid w:val="00A05EE6"/>
    <w:rsid w:val="00A101ED"/>
    <w:rsid w:val="00A32A05"/>
    <w:rsid w:val="00A639EA"/>
    <w:rsid w:val="00A642FA"/>
    <w:rsid w:val="00A65AAC"/>
    <w:rsid w:val="00A70EDC"/>
    <w:rsid w:val="00A8750F"/>
    <w:rsid w:val="00AB51CF"/>
    <w:rsid w:val="00B10665"/>
    <w:rsid w:val="00B173B2"/>
    <w:rsid w:val="00B45401"/>
    <w:rsid w:val="00B533C5"/>
    <w:rsid w:val="00B56C79"/>
    <w:rsid w:val="00B6315A"/>
    <w:rsid w:val="00B70465"/>
    <w:rsid w:val="00B70505"/>
    <w:rsid w:val="00B83474"/>
    <w:rsid w:val="00B95A30"/>
    <w:rsid w:val="00BD4912"/>
    <w:rsid w:val="00BF1B61"/>
    <w:rsid w:val="00C03D04"/>
    <w:rsid w:val="00C10C1C"/>
    <w:rsid w:val="00C12F6F"/>
    <w:rsid w:val="00C71DAD"/>
    <w:rsid w:val="00C731B4"/>
    <w:rsid w:val="00C95DEA"/>
    <w:rsid w:val="00CB7B2B"/>
    <w:rsid w:val="00CC0F2B"/>
    <w:rsid w:val="00CC62DE"/>
    <w:rsid w:val="00CC6EF8"/>
    <w:rsid w:val="00CD18B4"/>
    <w:rsid w:val="00CD1CE0"/>
    <w:rsid w:val="00CD420D"/>
    <w:rsid w:val="00CE2F1E"/>
    <w:rsid w:val="00CE66EC"/>
    <w:rsid w:val="00CF2EF4"/>
    <w:rsid w:val="00CF4D78"/>
    <w:rsid w:val="00CF5374"/>
    <w:rsid w:val="00D07445"/>
    <w:rsid w:val="00D633E4"/>
    <w:rsid w:val="00D634AB"/>
    <w:rsid w:val="00D75DFE"/>
    <w:rsid w:val="00D94BFD"/>
    <w:rsid w:val="00DB1B0A"/>
    <w:rsid w:val="00DB6099"/>
    <w:rsid w:val="00DD6ED7"/>
    <w:rsid w:val="00DF0AB4"/>
    <w:rsid w:val="00E406AA"/>
    <w:rsid w:val="00E40DD5"/>
    <w:rsid w:val="00E70B33"/>
    <w:rsid w:val="00E91796"/>
    <w:rsid w:val="00EB5DB3"/>
    <w:rsid w:val="00EC25B1"/>
    <w:rsid w:val="00ED0926"/>
    <w:rsid w:val="00EE7482"/>
    <w:rsid w:val="00F15D84"/>
    <w:rsid w:val="00F54AA8"/>
    <w:rsid w:val="00F75E1D"/>
    <w:rsid w:val="00FD7577"/>
    <w:rsid w:val="00FF3F88"/>
    <w:rsid w:val="0104388D"/>
    <w:rsid w:val="019F2CBF"/>
    <w:rsid w:val="01F3521E"/>
    <w:rsid w:val="01F73387"/>
    <w:rsid w:val="030B0E21"/>
    <w:rsid w:val="03C520DE"/>
    <w:rsid w:val="04C62764"/>
    <w:rsid w:val="04CC1BE3"/>
    <w:rsid w:val="06637270"/>
    <w:rsid w:val="072B0674"/>
    <w:rsid w:val="07936EA8"/>
    <w:rsid w:val="085B2073"/>
    <w:rsid w:val="090C5CA4"/>
    <w:rsid w:val="09157AD2"/>
    <w:rsid w:val="09366901"/>
    <w:rsid w:val="0B3C0D3A"/>
    <w:rsid w:val="0B9167C0"/>
    <w:rsid w:val="0C873537"/>
    <w:rsid w:val="0CAB26D5"/>
    <w:rsid w:val="0D2E0442"/>
    <w:rsid w:val="0DD5327C"/>
    <w:rsid w:val="0E2353BF"/>
    <w:rsid w:val="0E372937"/>
    <w:rsid w:val="0F0E01DC"/>
    <w:rsid w:val="0F5613B9"/>
    <w:rsid w:val="0F9420A9"/>
    <w:rsid w:val="110F2C61"/>
    <w:rsid w:val="11476A47"/>
    <w:rsid w:val="11C43DB1"/>
    <w:rsid w:val="12825F19"/>
    <w:rsid w:val="132A72FF"/>
    <w:rsid w:val="14991C55"/>
    <w:rsid w:val="18774A54"/>
    <w:rsid w:val="18FB7BCE"/>
    <w:rsid w:val="193244D1"/>
    <w:rsid w:val="1A545920"/>
    <w:rsid w:val="1BD21193"/>
    <w:rsid w:val="1CB704B0"/>
    <w:rsid w:val="1CDE7AD0"/>
    <w:rsid w:val="1CFA1FC0"/>
    <w:rsid w:val="1D567731"/>
    <w:rsid w:val="1DFA1DBC"/>
    <w:rsid w:val="1FA61E04"/>
    <w:rsid w:val="20BD01FC"/>
    <w:rsid w:val="21EA05A8"/>
    <w:rsid w:val="23135227"/>
    <w:rsid w:val="23575225"/>
    <w:rsid w:val="24984AC7"/>
    <w:rsid w:val="24CD50BD"/>
    <w:rsid w:val="24EB0A16"/>
    <w:rsid w:val="2634553E"/>
    <w:rsid w:val="28415A2F"/>
    <w:rsid w:val="286779D2"/>
    <w:rsid w:val="2AAF4215"/>
    <w:rsid w:val="2B133449"/>
    <w:rsid w:val="2C381457"/>
    <w:rsid w:val="2DEA30CA"/>
    <w:rsid w:val="2F234CB8"/>
    <w:rsid w:val="2F2861DE"/>
    <w:rsid w:val="2F9C6646"/>
    <w:rsid w:val="2FB40CC9"/>
    <w:rsid w:val="33A132C4"/>
    <w:rsid w:val="33FD33C5"/>
    <w:rsid w:val="34371DA3"/>
    <w:rsid w:val="34453B2B"/>
    <w:rsid w:val="34C06A8F"/>
    <w:rsid w:val="34E30635"/>
    <w:rsid w:val="358A7039"/>
    <w:rsid w:val="36557D69"/>
    <w:rsid w:val="36826DCF"/>
    <w:rsid w:val="36965855"/>
    <w:rsid w:val="369A466A"/>
    <w:rsid w:val="370522D0"/>
    <w:rsid w:val="390F1C06"/>
    <w:rsid w:val="39BB1659"/>
    <w:rsid w:val="3AD4315A"/>
    <w:rsid w:val="3D0870F8"/>
    <w:rsid w:val="3D1614E2"/>
    <w:rsid w:val="3D2A5291"/>
    <w:rsid w:val="3D7050F1"/>
    <w:rsid w:val="3DB4265F"/>
    <w:rsid w:val="3E0632B0"/>
    <w:rsid w:val="3E435A83"/>
    <w:rsid w:val="3E4E45D6"/>
    <w:rsid w:val="401731D2"/>
    <w:rsid w:val="417E360C"/>
    <w:rsid w:val="41AA5D19"/>
    <w:rsid w:val="41B771A5"/>
    <w:rsid w:val="41D256AC"/>
    <w:rsid w:val="41E70BF9"/>
    <w:rsid w:val="428C42F8"/>
    <w:rsid w:val="43C23152"/>
    <w:rsid w:val="443D0794"/>
    <w:rsid w:val="44F72E37"/>
    <w:rsid w:val="45DF7FA6"/>
    <w:rsid w:val="470E2AEC"/>
    <w:rsid w:val="47EF2F30"/>
    <w:rsid w:val="484D3BB5"/>
    <w:rsid w:val="48A203B0"/>
    <w:rsid w:val="4A214523"/>
    <w:rsid w:val="4A730277"/>
    <w:rsid w:val="4A91792A"/>
    <w:rsid w:val="4ACA1E61"/>
    <w:rsid w:val="4FD50746"/>
    <w:rsid w:val="507F5786"/>
    <w:rsid w:val="51CD7468"/>
    <w:rsid w:val="525B266F"/>
    <w:rsid w:val="52FF5FDC"/>
    <w:rsid w:val="53947AEE"/>
    <w:rsid w:val="539A32E7"/>
    <w:rsid w:val="53BA2E6A"/>
    <w:rsid w:val="53D90AC9"/>
    <w:rsid w:val="546B0211"/>
    <w:rsid w:val="54EF7A12"/>
    <w:rsid w:val="55466588"/>
    <w:rsid w:val="559055B5"/>
    <w:rsid w:val="55CD79C5"/>
    <w:rsid w:val="584B2AD2"/>
    <w:rsid w:val="588E6FD7"/>
    <w:rsid w:val="58D457B7"/>
    <w:rsid w:val="594309D2"/>
    <w:rsid w:val="59781DC5"/>
    <w:rsid w:val="5B0C770C"/>
    <w:rsid w:val="5B6D2AC1"/>
    <w:rsid w:val="5C0E5E96"/>
    <w:rsid w:val="5CB5062A"/>
    <w:rsid w:val="5E617CB0"/>
    <w:rsid w:val="5FA83262"/>
    <w:rsid w:val="5FCE3EA9"/>
    <w:rsid w:val="608F34D9"/>
    <w:rsid w:val="60A93027"/>
    <w:rsid w:val="6139572E"/>
    <w:rsid w:val="615D686C"/>
    <w:rsid w:val="61740BBC"/>
    <w:rsid w:val="62B01BF9"/>
    <w:rsid w:val="63992163"/>
    <w:rsid w:val="65340864"/>
    <w:rsid w:val="65E5099B"/>
    <w:rsid w:val="664F1433"/>
    <w:rsid w:val="679F0C46"/>
    <w:rsid w:val="67E04699"/>
    <w:rsid w:val="680E6403"/>
    <w:rsid w:val="69622415"/>
    <w:rsid w:val="69E72033"/>
    <w:rsid w:val="6A966A90"/>
    <w:rsid w:val="6C25301D"/>
    <w:rsid w:val="6D364F18"/>
    <w:rsid w:val="6DF939B6"/>
    <w:rsid w:val="6E965A94"/>
    <w:rsid w:val="6FFC2CF8"/>
    <w:rsid w:val="70D7196F"/>
    <w:rsid w:val="711E16FE"/>
    <w:rsid w:val="716A5681"/>
    <w:rsid w:val="723A7257"/>
    <w:rsid w:val="73FB271A"/>
    <w:rsid w:val="76360868"/>
    <w:rsid w:val="7683205B"/>
    <w:rsid w:val="779A47E6"/>
    <w:rsid w:val="78081CBF"/>
    <w:rsid w:val="799C395B"/>
    <w:rsid w:val="7A464337"/>
    <w:rsid w:val="7A5F418C"/>
    <w:rsid w:val="7B256CDD"/>
    <w:rsid w:val="7BDE2C52"/>
    <w:rsid w:val="7C767E70"/>
    <w:rsid w:val="7D6C2781"/>
    <w:rsid w:val="7E46408C"/>
    <w:rsid w:val="7EF2624D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/>
      <w:b/>
      <w:sz w:val="30"/>
    </w:rPr>
  </w:style>
  <w:style w:type="paragraph" w:styleId="5">
    <w:name w:val="heading 3"/>
    <w:basedOn w:val="1"/>
    <w:next w:val="1"/>
    <w:link w:val="33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spacing w:before="60"/>
      <w:ind w:firstLine="420" w:firstLineChars="200"/>
    </w:pPr>
  </w:style>
  <w:style w:type="paragraph" w:styleId="6">
    <w:name w:val="annotation text"/>
    <w:basedOn w:val="1"/>
    <w:link w:val="29"/>
    <w:unhideWhenUsed/>
    <w:qFormat/>
    <w:uiPriority w:val="99"/>
    <w:pPr>
      <w:jc w:val="left"/>
    </w:pPr>
  </w:style>
  <w:style w:type="paragraph" w:styleId="7">
    <w:name w:val="Body Text"/>
    <w:basedOn w:val="1"/>
    <w:qFormat/>
    <w:uiPriority w:val="0"/>
    <w:pPr>
      <w:jc w:val="left"/>
    </w:pPr>
    <w:rPr>
      <w:sz w:val="24"/>
    </w:rPr>
  </w:style>
  <w:style w:type="paragraph" w:styleId="8">
    <w:name w:val="Balloon Text"/>
    <w:basedOn w:val="1"/>
    <w:link w:val="31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link w:val="2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2">
    <w:name w:val="Title"/>
    <w:basedOn w:val="1"/>
    <w:next w:val="1"/>
    <w:link w:val="2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3">
    <w:name w:val="annotation subject"/>
    <w:basedOn w:val="6"/>
    <w:next w:val="6"/>
    <w:link w:val="30"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qFormat/>
    <w:uiPriority w:val="0"/>
  </w:style>
  <w:style w:type="character" w:styleId="18">
    <w:name w:val="Hyperlink"/>
    <w:unhideWhenUsed/>
    <w:qFormat/>
    <w:uiPriority w:val="99"/>
    <w:rPr>
      <w:color w:val="0000FF"/>
      <w:u w:val="single"/>
    </w:rPr>
  </w:style>
  <w:style w:type="character" w:styleId="19">
    <w:name w:val="annotation reference"/>
    <w:unhideWhenUsed/>
    <w:qFormat/>
    <w:uiPriority w:val="99"/>
    <w:rPr>
      <w:sz w:val="21"/>
      <w:szCs w:val="21"/>
    </w:rPr>
  </w:style>
  <w:style w:type="paragraph" w:customStyle="1" w:styleId="20">
    <w:name w:val="正文1"/>
    <w:qFormat/>
    <w:uiPriority w:val="0"/>
    <w:rPr>
      <w:rFonts w:ascii="Times New Roman" w:hAnsi="Arial Unicode MS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</w:style>
  <w:style w:type="paragraph" w:customStyle="1" w:styleId="22">
    <w:name w:val="正文 A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23">
    <w:name w:val="表头"/>
    <w:basedOn w:val="1"/>
    <w:qFormat/>
    <w:uiPriority w:val="0"/>
    <w:pPr>
      <w:keepNext/>
      <w:keepLines/>
      <w:spacing w:before="120" w:after="120"/>
      <w:jc w:val="center"/>
    </w:pPr>
    <w:rPr>
      <w:rFonts w:ascii="Times New Roman" w:hAnsi="Times New Roman" w:eastAsia="黑体" w:cs="Times New Roman"/>
      <w:kern w:val="44"/>
      <w:sz w:val="24"/>
      <w:szCs w:val="20"/>
    </w:rPr>
  </w:style>
  <w:style w:type="character" w:customStyle="1" w:styleId="24">
    <w:name w:val="页眉 Char"/>
    <w:link w:val="10"/>
    <w:qFormat/>
    <w:uiPriority w:val="99"/>
    <w:rPr>
      <w:sz w:val="18"/>
      <w:szCs w:val="18"/>
    </w:rPr>
  </w:style>
  <w:style w:type="character" w:customStyle="1" w:styleId="25">
    <w:name w:val="页脚 Char"/>
    <w:link w:val="9"/>
    <w:qFormat/>
    <w:uiPriority w:val="99"/>
    <w:rPr>
      <w:sz w:val="18"/>
      <w:szCs w:val="18"/>
    </w:rPr>
  </w:style>
  <w:style w:type="character" w:customStyle="1" w:styleId="26">
    <w:name w:val="HTML 预设格式 Char"/>
    <w:link w:val="11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7">
    <w:name w:val="标题 1 Char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8">
    <w:name w:val="标题 Char"/>
    <w:link w:val="12"/>
    <w:qFormat/>
    <w:uiPriority w:val="10"/>
    <w:rPr>
      <w:rFonts w:ascii="Cambria" w:hAnsi="Cambria" w:eastAsia="宋体" w:cs="黑体"/>
      <w:b/>
      <w:bCs/>
      <w:sz w:val="32"/>
      <w:szCs w:val="32"/>
    </w:rPr>
  </w:style>
  <w:style w:type="character" w:customStyle="1" w:styleId="29">
    <w:name w:val="批注文字 Char"/>
    <w:basedOn w:val="16"/>
    <w:link w:val="6"/>
    <w:semiHidden/>
    <w:qFormat/>
    <w:uiPriority w:val="99"/>
  </w:style>
  <w:style w:type="character" w:customStyle="1" w:styleId="30">
    <w:name w:val="批注主题 Char"/>
    <w:link w:val="13"/>
    <w:semiHidden/>
    <w:qFormat/>
    <w:uiPriority w:val="99"/>
    <w:rPr>
      <w:b/>
      <w:bCs/>
    </w:rPr>
  </w:style>
  <w:style w:type="character" w:customStyle="1" w:styleId="31">
    <w:name w:val="批注框文本 Char"/>
    <w:link w:val="8"/>
    <w:semiHidden/>
    <w:qFormat/>
    <w:uiPriority w:val="99"/>
    <w:rPr>
      <w:sz w:val="18"/>
      <w:szCs w:val="18"/>
    </w:rPr>
  </w:style>
  <w:style w:type="paragraph" w:customStyle="1" w:styleId="32">
    <w:name w:val="正文 B"/>
    <w:qFormat/>
    <w:uiPriority w:val="0"/>
    <w:pPr>
      <w:framePr w:wrap="around" w:vAnchor="margin" w:hAnchor="text" w:y="1"/>
      <w:spacing w:line="360" w:lineRule="auto"/>
      <w:ind w:firstLine="960" w:firstLineChars="200"/>
    </w:pPr>
    <w:rPr>
      <w:rFonts w:ascii="Arial Unicode MS" w:hAnsi="Arial Unicode MS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33">
    <w:name w:val="标题 3 Char"/>
    <w:link w:val="5"/>
    <w:semiHidden/>
    <w:qFormat/>
    <w:uiPriority w:val="9"/>
    <w:rPr>
      <w:rFonts w:ascii="Calibri" w:hAnsi="Calibri" w:cs="黑体"/>
      <w:b/>
      <w:bCs/>
      <w:kern w:val="2"/>
      <w:sz w:val="32"/>
      <w:szCs w:val="32"/>
    </w:rPr>
  </w:style>
  <w:style w:type="paragraph" w:customStyle="1" w:styleId="3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3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3238</Words>
  <Characters>3320</Characters>
  <Lines>10</Lines>
  <Paragraphs>2</Paragraphs>
  <TotalTime>11</TotalTime>
  <ScaleCrop>false</ScaleCrop>
  <LinksUpToDate>false</LinksUpToDate>
  <CharactersWithSpaces>3406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2014-10-17T07:13:00Z</dcterms:created>
  <dc:creator>s</dc:creator>
  <cp:lastModifiedBy>不想起名字</cp:lastModifiedBy>
  <cp:lastPrinted>2015-03-07T08:56:00Z</cp:lastPrinted>
  <dcterms:modified xsi:type="dcterms:W3CDTF">2025-05-02T03:14:22Z</dcterms:modified>
  <dc:title>医学影像存储传输系统(PACS 系统)可行性评估报告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A826E22EF1B548C2AD9FCB52DBA1D740_13</vt:lpwstr>
  </property>
  <property fmtid="{D5CDD505-2E9C-101B-9397-08002B2CF9AE}" pid="4" name="KSOTemplateDocerSaveRecord">
    <vt:lpwstr>eyJoZGlkIjoiMzEwNTM5NzYwMDRjMzkwZTVkZjY2ODkwMGIxNGU0OTUiLCJ1c2VySWQiOiI1MzE3NjIxNjEifQ==</vt:lpwstr>
  </property>
</Properties>
</file>